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464AF">
      <w:pPr>
        <w:jc w:val="center"/>
        <w:rPr>
          <w:rFonts w:ascii="宋体" w:hAnsi="宋体" w:eastAsia="宋体" w:cs="宋体"/>
          <w:b/>
          <w:bCs/>
          <w:color w:val="auto"/>
          <w:sz w:val="44"/>
          <w:szCs w:val="44"/>
        </w:rPr>
      </w:pPr>
    </w:p>
    <w:p w14:paraId="558B5D93">
      <w:pPr>
        <w:spacing w:line="360" w:lineRule="auto"/>
        <w:jc w:val="center"/>
        <w:rPr>
          <w:rFonts w:hint="eastAsia" w:ascii="宋体" w:hAnsi="宋体" w:cs="宋体"/>
          <w:b/>
          <w:color w:val="auto"/>
          <w:sz w:val="40"/>
          <w:szCs w:val="40"/>
          <w:lang w:val="en-US" w:eastAsia="zh-CN"/>
        </w:rPr>
      </w:pPr>
      <w:r>
        <w:rPr>
          <w:rFonts w:hint="eastAsia" w:ascii="宋体" w:hAnsi="宋体" w:cs="宋体"/>
          <w:b/>
          <w:color w:val="auto"/>
          <w:sz w:val="40"/>
          <w:szCs w:val="40"/>
          <w:lang w:val="en-US" w:eastAsia="zh-CN"/>
        </w:rPr>
        <w:t>云台山旅游股份有限公司客车二级维护采购项目（二次）</w:t>
      </w:r>
    </w:p>
    <w:p w14:paraId="6B2D1252">
      <w:pPr>
        <w:spacing w:line="360" w:lineRule="auto"/>
        <w:jc w:val="center"/>
        <w:rPr>
          <w:rFonts w:ascii="宋体" w:hAnsi="宋体"/>
          <w:b/>
          <w:color w:val="auto"/>
          <w:sz w:val="30"/>
          <w:szCs w:val="30"/>
        </w:rPr>
      </w:pPr>
      <w:r>
        <w:rPr>
          <w:rFonts w:hint="eastAsia" w:eastAsia="幼圆"/>
          <w:b/>
          <w:color w:val="auto"/>
          <w:sz w:val="80"/>
          <w:szCs w:val="80"/>
        </w:rPr>
        <w:t>单一来源文件</w:t>
      </w:r>
    </w:p>
    <w:p w14:paraId="58CE4764">
      <w:pPr>
        <w:rPr>
          <w:rFonts w:ascii="仿宋" w:hAnsi="仿宋" w:eastAsia="仿宋" w:cs="仿宋"/>
          <w:color w:val="auto"/>
          <w:sz w:val="28"/>
          <w:szCs w:val="28"/>
        </w:rPr>
      </w:pPr>
    </w:p>
    <w:p w14:paraId="2966C1C9">
      <w:pPr>
        <w:jc w:val="center"/>
        <w:rPr>
          <w:rFonts w:hint="default" w:asciiTheme="minorEastAsia" w:hAnsiTheme="minorEastAsia" w:eastAsiaTheme="minorEastAsia" w:cstheme="minorEastAsia"/>
          <w:color w:val="auto"/>
          <w:sz w:val="32"/>
          <w:szCs w:val="32"/>
          <w:lang w:val="en-US" w:eastAsia="zh-CN"/>
        </w:rPr>
      </w:pPr>
      <w:r>
        <w:rPr>
          <w:rFonts w:hint="eastAsia" w:asciiTheme="minorEastAsia" w:hAnsiTheme="minorEastAsia" w:cstheme="minorEastAsia"/>
          <w:color w:val="auto"/>
          <w:sz w:val="32"/>
          <w:szCs w:val="32"/>
        </w:rPr>
        <w:t>项目编号：</w:t>
      </w:r>
      <w:r>
        <w:rPr>
          <w:rFonts w:hint="eastAsia" w:asciiTheme="minorEastAsia" w:hAnsiTheme="minorEastAsia" w:cstheme="minorEastAsia"/>
          <w:color w:val="auto"/>
          <w:sz w:val="32"/>
          <w:szCs w:val="32"/>
          <w:lang w:eastAsia="zh-CN"/>
        </w:rPr>
        <w:t>焦公资采购F2025—176</w:t>
      </w:r>
      <w:r>
        <w:rPr>
          <w:rFonts w:hint="eastAsia" w:asciiTheme="minorEastAsia" w:hAnsiTheme="minorEastAsia" w:cstheme="minorEastAsia"/>
          <w:color w:val="auto"/>
          <w:sz w:val="32"/>
          <w:szCs w:val="32"/>
          <w:lang w:val="en-US" w:eastAsia="zh-CN"/>
        </w:rPr>
        <w:t xml:space="preserve"> </w:t>
      </w:r>
    </w:p>
    <w:p w14:paraId="595746CD">
      <w:pPr>
        <w:rPr>
          <w:rFonts w:ascii="仿宋" w:hAnsi="仿宋" w:eastAsia="仿宋" w:cs="仿宋"/>
          <w:color w:val="auto"/>
          <w:sz w:val="28"/>
          <w:szCs w:val="28"/>
        </w:rPr>
      </w:pPr>
    </w:p>
    <w:p w14:paraId="69D8DA7D">
      <w:pPr>
        <w:jc w:val="center"/>
        <w:rPr>
          <w:rFonts w:ascii="仿宋" w:hAnsi="仿宋" w:eastAsia="仿宋" w:cs="仿宋"/>
          <w:color w:val="auto"/>
          <w:sz w:val="28"/>
          <w:szCs w:val="28"/>
        </w:rPr>
      </w:pPr>
      <w:r>
        <w:rPr>
          <w:rFonts w:hint="eastAsia"/>
          <w:color w:val="auto"/>
        </w:rPr>
        <w:drawing>
          <wp:inline distT="0" distB="0" distL="114300" distR="114300">
            <wp:extent cx="1799590" cy="1799590"/>
            <wp:effectExtent l="0" t="0" r="10160" b="10160"/>
            <wp:docPr id="1" name="图片 1" descr="35A96FD7E9169D7FD3A94AA9B2EBB7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5A96FD7E9169D7FD3A94AA9B2EBB7D3"/>
                    <pic:cNvPicPr>
                      <a:picLocks noChangeAspect="1"/>
                    </pic:cNvPicPr>
                  </pic:nvPicPr>
                  <pic:blipFill>
                    <a:blip r:embed="rId7" cstate="print"/>
                    <a:stretch>
                      <a:fillRect/>
                    </a:stretch>
                  </pic:blipFill>
                  <pic:spPr>
                    <a:xfrm>
                      <a:off x="0" y="0"/>
                      <a:ext cx="1799590" cy="1799590"/>
                    </a:xfrm>
                    <a:prstGeom prst="rect">
                      <a:avLst/>
                    </a:prstGeom>
                  </pic:spPr>
                </pic:pic>
              </a:graphicData>
            </a:graphic>
          </wp:inline>
        </w:drawing>
      </w:r>
    </w:p>
    <w:p w14:paraId="263B6009">
      <w:pPr>
        <w:rPr>
          <w:rFonts w:ascii="仿宋" w:hAnsi="仿宋" w:eastAsia="仿宋" w:cs="仿宋"/>
          <w:color w:val="auto"/>
          <w:sz w:val="28"/>
          <w:szCs w:val="28"/>
        </w:rPr>
      </w:pPr>
    </w:p>
    <w:p w14:paraId="2228677F">
      <w:pPr>
        <w:pStyle w:val="36"/>
        <w:rPr>
          <w:rFonts w:ascii="仿宋" w:hAnsi="仿宋" w:eastAsia="仿宋" w:cs="仿宋"/>
          <w:color w:val="auto"/>
          <w:sz w:val="28"/>
          <w:szCs w:val="28"/>
        </w:rPr>
      </w:pPr>
    </w:p>
    <w:p w14:paraId="06F7A8BB">
      <w:pPr>
        <w:pStyle w:val="36"/>
        <w:rPr>
          <w:rFonts w:ascii="仿宋" w:hAnsi="仿宋" w:eastAsia="仿宋" w:cs="仿宋"/>
          <w:color w:val="auto"/>
          <w:sz w:val="28"/>
          <w:szCs w:val="28"/>
        </w:rPr>
      </w:pPr>
    </w:p>
    <w:p w14:paraId="2678B579">
      <w:pPr>
        <w:ind w:left="838" w:leftChars="399" w:firstLine="0" w:firstLineChars="0"/>
        <w:rPr>
          <w:rFonts w:hint="eastAsia"/>
          <w:b/>
          <w:bCs/>
          <w:color w:val="auto"/>
          <w:sz w:val="28"/>
          <w:szCs w:val="28"/>
          <w:lang w:eastAsia="zh-CN"/>
        </w:rPr>
      </w:pPr>
      <w:r>
        <w:rPr>
          <w:rFonts w:hint="eastAsia"/>
          <w:b/>
          <w:bCs/>
          <w:color w:val="auto"/>
          <w:sz w:val="28"/>
          <w:szCs w:val="28"/>
        </w:rPr>
        <w:t>采   购</w:t>
      </w:r>
      <w:r>
        <w:rPr>
          <w:rFonts w:hint="eastAsia"/>
          <w:b/>
          <w:bCs/>
          <w:color w:val="auto"/>
          <w:sz w:val="28"/>
          <w:szCs w:val="28"/>
          <w:lang w:val="en-US" w:eastAsia="zh-CN"/>
        </w:rPr>
        <w:t xml:space="preserve">   </w:t>
      </w:r>
      <w:r>
        <w:rPr>
          <w:rFonts w:hint="eastAsia"/>
          <w:b/>
          <w:bCs/>
          <w:color w:val="auto"/>
          <w:sz w:val="28"/>
          <w:szCs w:val="28"/>
        </w:rPr>
        <w:t>人：</w:t>
      </w:r>
      <w:r>
        <w:rPr>
          <w:rFonts w:hint="eastAsia"/>
          <w:b/>
          <w:bCs/>
          <w:color w:val="auto"/>
          <w:sz w:val="28"/>
          <w:szCs w:val="28"/>
          <w:lang w:val="en-US" w:eastAsia="zh-CN"/>
        </w:rPr>
        <w:t>云台山旅游股份有限公司</w:t>
      </w:r>
    </w:p>
    <w:p w14:paraId="6853750C">
      <w:pPr>
        <w:ind w:firstLine="843" w:firstLineChars="300"/>
        <w:rPr>
          <w:rFonts w:hint="eastAsia"/>
          <w:b/>
          <w:bCs/>
          <w:color w:val="auto"/>
          <w:sz w:val="28"/>
          <w:szCs w:val="28"/>
        </w:rPr>
      </w:pPr>
      <w:r>
        <w:rPr>
          <w:rFonts w:hint="eastAsia"/>
          <w:b/>
          <w:bCs/>
          <w:color w:val="auto"/>
          <w:sz w:val="28"/>
          <w:szCs w:val="28"/>
        </w:rPr>
        <w:t>采购代理机构：</w:t>
      </w:r>
      <w:r>
        <w:rPr>
          <w:rFonts w:hint="eastAsia"/>
          <w:b/>
          <w:bCs/>
          <w:color w:val="auto"/>
          <w:sz w:val="28"/>
          <w:szCs w:val="28"/>
          <w:lang w:val="en-US" w:eastAsia="zh-CN"/>
        </w:rPr>
        <w:t>焦</w:t>
      </w:r>
      <w:r>
        <w:rPr>
          <w:rFonts w:hint="eastAsia"/>
          <w:b/>
          <w:bCs/>
          <w:color w:val="auto"/>
          <w:sz w:val="28"/>
          <w:szCs w:val="28"/>
        </w:rPr>
        <w:t>作市公共资源项目服务有限责任公司</w:t>
      </w:r>
    </w:p>
    <w:p w14:paraId="73B97890">
      <w:pPr>
        <w:ind w:firstLine="843" w:firstLineChars="300"/>
        <w:rPr>
          <w:rFonts w:ascii="仿宋" w:hAnsi="仿宋" w:eastAsia="仿宋" w:cs="仿宋"/>
          <w:b/>
          <w:bCs/>
          <w:color w:val="auto"/>
          <w:sz w:val="28"/>
          <w:szCs w:val="28"/>
        </w:rPr>
        <w:sectPr>
          <w:headerReference r:id="rId3" w:type="default"/>
          <w:pgSz w:w="11906" w:h="16838"/>
          <w:pgMar w:top="2098" w:right="1474" w:bottom="1984" w:left="1587" w:header="851" w:footer="992" w:gutter="0"/>
          <w:pgBorders>
            <w:top w:val="none" w:sz="0" w:space="0"/>
            <w:left w:val="none" w:sz="0" w:space="0"/>
            <w:bottom w:val="none" w:sz="0" w:space="0"/>
            <w:right w:val="none" w:sz="0" w:space="0"/>
          </w:pgBorders>
          <w:cols w:space="0" w:num="1"/>
          <w:docGrid w:type="lines" w:linePitch="318" w:charSpace="0"/>
        </w:sectPr>
      </w:pPr>
      <w:r>
        <w:rPr>
          <w:rFonts w:hint="eastAsia"/>
          <w:b/>
          <w:bCs/>
          <w:color w:val="auto"/>
          <w:sz w:val="28"/>
          <w:szCs w:val="28"/>
        </w:rPr>
        <w:t xml:space="preserve">日   </w:t>
      </w:r>
      <w:r>
        <w:rPr>
          <w:rFonts w:hint="eastAsia"/>
          <w:b/>
          <w:bCs/>
          <w:color w:val="auto"/>
          <w:sz w:val="28"/>
          <w:szCs w:val="28"/>
          <w:lang w:val="en-US" w:eastAsia="zh-CN"/>
        </w:rPr>
        <w:t xml:space="preserve">     </w:t>
      </w:r>
      <w:r>
        <w:rPr>
          <w:rFonts w:hint="eastAsia"/>
          <w:b/>
          <w:bCs/>
          <w:color w:val="auto"/>
          <w:sz w:val="28"/>
          <w:szCs w:val="28"/>
        </w:rPr>
        <w:t>期：二〇二</w:t>
      </w:r>
      <w:r>
        <w:rPr>
          <w:rFonts w:hint="eastAsia"/>
          <w:b/>
          <w:bCs/>
          <w:color w:val="auto"/>
          <w:sz w:val="28"/>
          <w:szCs w:val="28"/>
          <w:lang w:val="en-US" w:eastAsia="zh-CN"/>
        </w:rPr>
        <w:t>五</w:t>
      </w:r>
      <w:r>
        <w:rPr>
          <w:rFonts w:hint="eastAsia"/>
          <w:b/>
          <w:bCs/>
          <w:color w:val="auto"/>
          <w:sz w:val="28"/>
          <w:szCs w:val="28"/>
        </w:rPr>
        <w:t>年</w:t>
      </w:r>
      <w:r>
        <w:rPr>
          <w:rFonts w:hint="eastAsia"/>
          <w:b/>
          <w:bCs/>
          <w:color w:val="auto"/>
          <w:sz w:val="28"/>
          <w:szCs w:val="28"/>
          <w:lang w:val="en-US" w:eastAsia="zh-CN"/>
        </w:rPr>
        <w:t>十</w:t>
      </w:r>
      <w:r>
        <w:rPr>
          <w:rFonts w:hint="eastAsia"/>
          <w:b/>
          <w:bCs/>
          <w:color w:val="auto"/>
          <w:sz w:val="28"/>
          <w:szCs w:val="28"/>
        </w:rPr>
        <w:t xml:space="preserve">月 </w:t>
      </w:r>
    </w:p>
    <w:p w14:paraId="4E725A45">
      <w:pPr>
        <w:jc w:val="center"/>
        <w:rPr>
          <w:rFonts w:hint="eastAsia" w:ascii="宋体" w:hAnsi="宋体" w:eastAsia="宋体" w:cs="宋体"/>
          <w:b/>
          <w:bCs/>
          <w:color w:val="auto"/>
          <w:sz w:val="28"/>
          <w:szCs w:val="28"/>
        </w:rPr>
      </w:pPr>
    </w:p>
    <w:p w14:paraId="7390E696">
      <w:pPr>
        <w:jc w:val="center"/>
        <w:rPr>
          <w:rFonts w:hint="eastAsia" w:ascii="宋体" w:hAnsi="宋体" w:eastAsia="宋体" w:cs="宋体"/>
          <w:b/>
          <w:bCs/>
          <w:color w:val="auto"/>
          <w:sz w:val="28"/>
          <w:szCs w:val="28"/>
        </w:rPr>
      </w:pPr>
    </w:p>
    <w:p w14:paraId="0E0C1684">
      <w:pPr>
        <w:jc w:val="center"/>
        <w:rPr>
          <w:rFonts w:ascii="黑体" w:hAnsi="黑体" w:eastAsia="黑体" w:cs="黑体"/>
          <w:color w:val="auto"/>
          <w:sz w:val="28"/>
          <w:szCs w:val="28"/>
        </w:rPr>
      </w:pPr>
      <w:r>
        <w:rPr>
          <w:rFonts w:hint="eastAsia" w:ascii="宋体" w:hAnsi="宋体" w:eastAsia="宋体" w:cs="宋体"/>
          <w:b/>
          <w:bCs/>
          <w:color w:val="auto"/>
          <w:sz w:val="28"/>
          <w:szCs w:val="28"/>
        </w:rPr>
        <w:t>目     录</w:t>
      </w:r>
    </w:p>
    <w:p w14:paraId="50F7F3E7">
      <w:pPr>
        <w:jc w:val="center"/>
        <w:rPr>
          <w:rFonts w:ascii="黑体" w:hAnsi="黑体" w:eastAsia="黑体" w:cs="黑体"/>
          <w:color w:val="auto"/>
          <w:sz w:val="28"/>
          <w:szCs w:val="28"/>
        </w:rPr>
      </w:pPr>
    </w:p>
    <w:p w14:paraId="273F4CCF">
      <w:pPr>
        <w:jc w:val="center"/>
        <w:rPr>
          <w:rFonts w:ascii="黑体" w:hAnsi="黑体" w:eastAsia="黑体" w:cs="黑体"/>
          <w:color w:val="auto"/>
          <w:sz w:val="28"/>
          <w:szCs w:val="28"/>
        </w:rPr>
      </w:pPr>
    </w:p>
    <w:p w14:paraId="15282E43">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第一部分：单一来源采购邀请函</w:t>
      </w:r>
    </w:p>
    <w:p w14:paraId="64B92ECB">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第二部分：单一来源采购须知</w:t>
      </w:r>
    </w:p>
    <w:p w14:paraId="43E6A9DA">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第三部分：采购需求</w:t>
      </w:r>
    </w:p>
    <w:p w14:paraId="52753865">
      <w:pPr>
        <w:ind w:firstLine="2530" w:firstLineChars="900"/>
        <w:jc w:val="both"/>
        <w:rPr>
          <w:rFonts w:ascii="黑体" w:hAnsi="黑体" w:eastAsia="黑体" w:cs="黑体"/>
          <w:b/>
          <w:bCs/>
          <w:color w:val="auto"/>
          <w:sz w:val="28"/>
          <w:szCs w:val="28"/>
        </w:rPr>
      </w:pPr>
      <w:r>
        <w:rPr>
          <w:rFonts w:hint="eastAsia" w:ascii="宋体" w:hAnsi="宋体" w:eastAsia="宋体" w:cs="宋体"/>
          <w:b/>
          <w:bCs/>
          <w:color w:val="auto"/>
          <w:sz w:val="28"/>
          <w:szCs w:val="28"/>
        </w:rPr>
        <w:t>第四部分：附件—响应性文件格式</w:t>
      </w:r>
    </w:p>
    <w:p w14:paraId="3CE399C1">
      <w:pPr>
        <w:rPr>
          <w:rFonts w:ascii="仿宋" w:hAnsi="仿宋" w:eastAsia="仿宋" w:cs="仿宋"/>
          <w:color w:val="auto"/>
          <w:sz w:val="28"/>
          <w:szCs w:val="28"/>
        </w:rPr>
      </w:pPr>
    </w:p>
    <w:p w14:paraId="321C5557">
      <w:pPr>
        <w:rPr>
          <w:rFonts w:ascii="仿宋" w:hAnsi="仿宋" w:eastAsia="仿宋" w:cs="仿宋"/>
          <w:color w:val="auto"/>
          <w:sz w:val="28"/>
          <w:szCs w:val="28"/>
        </w:rPr>
      </w:pPr>
    </w:p>
    <w:p w14:paraId="7C81A4F0">
      <w:pPr>
        <w:rPr>
          <w:rFonts w:ascii="仿宋" w:hAnsi="仿宋" w:eastAsia="仿宋" w:cs="仿宋"/>
          <w:color w:val="auto"/>
          <w:sz w:val="28"/>
          <w:szCs w:val="28"/>
        </w:rPr>
      </w:pPr>
    </w:p>
    <w:p w14:paraId="1EC6693B">
      <w:pPr>
        <w:rPr>
          <w:rFonts w:ascii="仿宋" w:hAnsi="仿宋" w:eastAsia="仿宋" w:cs="仿宋"/>
          <w:color w:val="auto"/>
          <w:sz w:val="28"/>
          <w:szCs w:val="28"/>
        </w:rPr>
      </w:pPr>
    </w:p>
    <w:p w14:paraId="2F6F3997">
      <w:pPr>
        <w:rPr>
          <w:rFonts w:ascii="仿宋" w:hAnsi="仿宋" w:eastAsia="仿宋" w:cs="仿宋"/>
          <w:color w:val="auto"/>
          <w:sz w:val="28"/>
          <w:szCs w:val="28"/>
        </w:rPr>
      </w:pPr>
    </w:p>
    <w:p w14:paraId="4BB0B07A">
      <w:pPr>
        <w:rPr>
          <w:rFonts w:ascii="仿宋" w:hAnsi="仿宋" w:eastAsia="仿宋" w:cs="仿宋"/>
          <w:color w:val="auto"/>
          <w:sz w:val="28"/>
          <w:szCs w:val="28"/>
        </w:rPr>
      </w:pPr>
    </w:p>
    <w:p w14:paraId="7160D7F9">
      <w:pPr>
        <w:rPr>
          <w:rFonts w:ascii="仿宋" w:hAnsi="仿宋" w:eastAsia="仿宋" w:cs="仿宋"/>
          <w:color w:val="auto"/>
          <w:sz w:val="28"/>
          <w:szCs w:val="28"/>
        </w:rPr>
      </w:pPr>
    </w:p>
    <w:p w14:paraId="51EF85BD">
      <w:pPr>
        <w:rPr>
          <w:rFonts w:ascii="仿宋" w:hAnsi="仿宋" w:eastAsia="仿宋" w:cs="仿宋"/>
          <w:color w:val="auto"/>
          <w:sz w:val="28"/>
          <w:szCs w:val="28"/>
        </w:rPr>
      </w:pPr>
    </w:p>
    <w:p w14:paraId="4E6025E6">
      <w:pPr>
        <w:rPr>
          <w:color w:val="auto"/>
        </w:rPr>
        <w:sectPr>
          <w:headerReference r:id="rId4" w:type="default"/>
          <w:footerReference r:id="rId5"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0" w:num="1"/>
          <w:docGrid w:type="lines" w:linePitch="318" w:charSpace="0"/>
        </w:sectPr>
      </w:pPr>
    </w:p>
    <w:p w14:paraId="77AD8F66">
      <w:pPr>
        <w:spacing w:line="560" w:lineRule="exact"/>
        <w:jc w:val="center"/>
        <w:rPr>
          <w:rFonts w:ascii="仿宋_GB2312" w:hAnsi="仿宋_GB2312" w:eastAsia="仿宋_GB2312" w:cs="仿宋_GB2312"/>
          <w:color w:val="auto"/>
          <w:sz w:val="32"/>
          <w:szCs w:val="32"/>
        </w:rPr>
      </w:pPr>
      <w:r>
        <w:rPr>
          <w:rFonts w:hint="eastAsia" w:ascii="宋体" w:hAnsi="宋体" w:eastAsia="宋体" w:cs="宋体"/>
          <w:b/>
          <w:bCs/>
          <w:color w:val="auto"/>
          <w:sz w:val="32"/>
          <w:szCs w:val="32"/>
        </w:rPr>
        <w:t>第一部分   单一来源采购邀请函</w:t>
      </w:r>
    </w:p>
    <w:p w14:paraId="0F8BA6A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p>
    <w:p w14:paraId="2A0A1B5D">
      <w:pPr>
        <w:keepNext w:val="0"/>
        <w:keepLines w:val="0"/>
        <w:pageBreakBefore w:val="0"/>
        <w:widowControl/>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焦作市公共资源项目服务有限责任公司受</w:t>
      </w:r>
      <w:r>
        <w:rPr>
          <w:rFonts w:hint="eastAsia" w:ascii="仿宋" w:hAnsi="仿宋" w:eastAsia="仿宋" w:cs="仿宋"/>
          <w:color w:val="auto"/>
          <w:sz w:val="28"/>
          <w:szCs w:val="28"/>
          <w:lang w:eastAsia="zh-CN"/>
        </w:rPr>
        <w:t>云台山旅游股份有限公司</w:t>
      </w:r>
      <w:r>
        <w:rPr>
          <w:rFonts w:hint="eastAsia" w:ascii="仿宋" w:hAnsi="仿宋" w:eastAsia="仿宋" w:cs="仿宋"/>
          <w:color w:val="auto"/>
          <w:sz w:val="28"/>
          <w:szCs w:val="28"/>
        </w:rPr>
        <w:t>委托，就</w:t>
      </w:r>
      <w:r>
        <w:rPr>
          <w:rFonts w:hint="eastAsia" w:ascii="仿宋" w:hAnsi="仿宋" w:eastAsia="仿宋" w:cs="仿宋"/>
          <w:color w:val="auto"/>
          <w:sz w:val="28"/>
          <w:szCs w:val="28"/>
          <w:lang w:eastAsia="zh-CN"/>
        </w:rPr>
        <w:t>云台山旅游股份有限公司客车二级维护采购项目（</w:t>
      </w:r>
      <w:r>
        <w:rPr>
          <w:rFonts w:hint="eastAsia" w:ascii="仿宋" w:hAnsi="仿宋" w:eastAsia="仿宋" w:cs="仿宋"/>
          <w:color w:val="auto"/>
          <w:sz w:val="28"/>
          <w:szCs w:val="28"/>
          <w:lang w:val="en-US" w:eastAsia="zh-CN"/>
        </w:rPr>
        <w:t>二次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进行单一来源采购，兹邀请相关供应商参加。</w:t>
      </w:r>
    </w:p>
    <w:p w14:paraId="74C750E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项目名称：</w:t>
      </w:r>
      <w:r>
        <w:rPr>
          <w:rFonts w:hint="eastAsia" w:ascii="仿宋" w:hAnsi="仿宋" w:eastAsia="仿宋" w:cs="仿宋"/>
          <w:color w:val="auto"/>
          <w:sz w:val="28"/>
          <w:szCs w:val="28"/>
          <w:lang w:eastAsia="zh-CN"/>
        </w:rPr>
        <w:t>云台山旅游股份有限公司客车二级维护采购项目（</w:t>
      </w:r>
      <w:r>
        <w:rPr>
          <w:rFonts w:hint="eastAsia" w:ascii="仿宋" w:hAnsi="仿宋" w:eastAsia="仿宋" w:cs="仿宋"/>
          <w:color w:val="auto"/>
          <w:sz w:val="28"/>
          <w:szCs w:val="28"/>
          <w:lang w:val="en-US" w:eastAsia="zh-CN"/>
        </w:rPr>
        <w:t>二次</w:t>
      </w:r>
      <w:r>
        <w:rPr>
          <w:rFonts w:hint="eastAsia" w:ascii="仿宋" w:hAnsi="仿宋" w:eastAsia="仿宋" w:cs="仿宋"/>
          <w:color w:val="auto"/>
          <w:sz w:val="28"/>
          <w:szCs w:val="28"/>
          <w:lang w:eastAsia="zh-CN"/>
        </w:rPr>
        <w:t>）</w:t>
      </w:r>
    </w:p>
    <w:p w14:paraId="2D79F16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二、项目编号：</w:t>
      </w:r>
      <w:r>
        <w:rPr>
          <w:rFonts w:hint="eastAsia" w:ascii="仿宋" w:hAnsi="仿宋" w:eastAsia="仿宋" w:cs="仿宋"/>
          <w:color w:val="auto"/>
          <w:sz w:val="28"/>
          <w:szCs w:val="28"/>
          <w:lang w:eastAsia="zh-CN"/>
        </w:rPr>
        <w:t>焦公资采购F2025—176</w:t>
      </w:r>
    </w:p>
    <w:p w14:paraId="7294427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三、采购项目简要说明：</w:t>
      </w:r>
      <w:r>
        <w:rPr>
          <w:rFonts w:hint="eastAsia" w:ascii="仿宋" w:hAnsi="仿宋" w:eastAsia="仿宋" w:cs="仿宋"/>
          <w:color w:val="auto"/>
          <w:sz w:val="28"/>
          <w:szCs w:val="28"/>
          <w:lang w:val="en-US" w:eastAsia="zh-CN"/>
        </w:rPr>
        <w:t>云台山旅游股份有限公司客车二级维护采购项目车辆 242 辆，维护期三年，以实际需要维护车辆数为准。</w:t>
      </w:r>
      <w:r>
        <w:rPr>
          <w:rFonts w:hint="eastAsia" w:ascii="仿宋" w:hAnsi="仿宋" w:eastAsia="仿宋" w:cs="仿宋"/>
          <w:color w:val="auto"/>
          <w:sz w:val="28"/>
          <w:szCs w:val="28"/>
          <w:lang w:val="zh-CN"/>
        </w:rPr>
        <w:t>（详见第三部分）</w:t>
      </w:r>
    </w:p>
    <w:p w14:paraId="2AF2B19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四、项目预算金额</w:t>
      </w:r>
      <w:r>
        <w:rPr>
          <w:rFonts w:hint="eastAsia" w:ascii="仿宋" w:hAnsi="仿宋" w:eastAsia="仿宋" w:cs="仿宋"/>
          <w:color w:val="auto"/>
          <w:sz w:val="28"/>
          <w:szCs w:val="28"/>
          <w:lang w:val="en-US" w:eastAsia="zh-CN"/>
        </w:rPr>
        <w:t>：人民币870,000.00元（大写：捌拾柒万元整）</w:t>
      </w:r>
    </w:p>
    <w:p w14:paraId="048CAD3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五、供应商资格要求：</w:t>
      </w:r>
    </w:p>
    <w:p w14:paraId="0973FDE4">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满足《中华人民共和国政府采购法》第二十二条规定；</w:t>
      </w:r>
    </w:p>
    <w:p w14:paraId="56C03196">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2.供应商</w:t>
      </w:r>
      <w:r>
        <w:rPr>
          <w:rFonts w:hint="eastAsia" w:ascii="仿宋" w:hAnsi="仿宋" w:eastAsia="仿宋" w:cs="仿宋"/>
          <w:color w:val="auto"/>
          <w:sz w:val="28"/>
          <w:szCs w:val="28"/>
        </w:rPr>
        <w:t>行贿犯罪档案记录（</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当日中国裁判文书网的信息）；</w:t>
      </w:r>
    </w:p>
    <w:p w14:paraId="7E4BE69A">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按照《财政部关于在政府采购活动中查询及使用信用记录有关问题的通知》（财库〔2016〕125号）的要求，根据</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当日“信用中国”网站（www.creditchina.gov.cn）、中国政府采购网（www.ccgp.gov.cn）的信息，对列入失信被执行人、重大税收违法</w:t>
      </w:r>
      <w:r>
        <w:rPr>
          <w:rFonts w:hint="eastAsia" w:ascii="仿宋" w:hAnsi="仿宋" w:eastAsia="仿宋" w:cs="仿宋"/>
          <w:color w:val="auto"/>
          <w:sz w:val="28"/>
          <w:szCs w:val="28"/>
          <w:lang w:val="en-US" w:eastAsia="zh-CN"/>
        </w:rPr>
        <w:t>失信主体</w:t>
      </w:r>
      <w:r>
        <w:rPr>
          <w:rFonts w:hint="eastAsia" w:ascii="仿宋" w:hAnsi="仿宋" w:eastAsia="仿宋" w:cs="仿宋"/>
          <w:color w:val="auto"/>
          <w:sz w:val="28"/>
          <w:szCs w:val="28"/>
        </w:rPr>
        <w:t>、政府采购严重违法失信行为记录名单的供应商，拒绝参与政府采购活动，同时对信用信息查询记录和证据进行打印存档；</w:t>
      </w:r>
    </w:p>
    <w:p w14:paraId="2DC1C864">
      <w:pPr>
        <w:spacing w:line="560" w:lineRule="exact"/>
        <w:ind w:firstLine="562" w:firstLineChars="200"/>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备注：以上第</w:t>
      </w:r>
      <w:r>
        <w:rPr>
          <w:rFonts w:hint="eastAsia" w:ascii="仿宋_GB2312" w:hAnsi="仿宋_GB2312" w:eastAsia="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rPr>
        <w:t>条和第</w:t>
      </w:r>
      <w:r>
        <w:rPr>
          <w:rFonts w:hint="eastAsia" w:ascii="仿宋_GB2312" w:hAnsi="仿宋_GB2312" w:eastAsia="仿宋_GB2312" w:cs="仿宋_GB2312"/>
          <w:b/>
          <w:bCs/>
          <w:color w:val="auto"/>
          <w:sz w:val="28"/>
          <w:szCs w:val="28"/>
          <w:lang w:val="en-US" w:eastAsia="zh-CN"/>
        </w:rPr>
        <w:t>3</w:t>
      </w:r>
      <w:r>
        <w:rPr>
          <w:rFonts w:hint="eastAsia" w:ascii="仿宋_GB2312" w:hAnsi="仿宋_GB2312" w:eastAsia="仿宋_GB2312" w:cs="仿宋_GB2312"/>
          <w:b/>
          <w:bCs/>
          <w:color w:val="auto"/>
          <w:sz w:val="28"/>
          <w:szCs w:val="28"/>
        </w:rPr>
        <w:t>条由采购代理机构提供查询结果。</w:t>
      </w:r>
    </w:p>
    <w:p w14:paraId="4BBFB88D">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六、响应性文件接收截止时间：2025年10月17日9时00分</w:t>
      </w:r>
    </w:p>
    <w:p w14:paraId="4B4E47CE">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七、响应性文件接收地点：焦作市人民路889号阳光大厦B座焦作市公共资源交易中心评标三室。</w:t>
      </w:r>
    </w:p>
    <w:p w14:paraId="7A78B1F7">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八、协商时间：2025年10月17日9时00分</w:t>
      </w:r>
    </w:p>
    <w:p w14:paraId="0B43F450">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九、协商地点：焦作市人民路889号阳光大厦B座焦作市公共资源交易中心评标三室。</w:t>
      </w:r>
    </w:p>
    <w:p w14:paraId="49CDC571">
      <w:pPr>
        <w:spacing w:line="560" w:lineRule="exact"/>
        <w:ind w:firstLine="560" w:firstLineChars="200"/>
        <w:rPr>
          <w:rFonts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十、</w:t>
      </w:r>
      <w:r>
        <w:rPr>
          <w:rFonts w:hint="eastAsia" w:ascii="仿宋_GB2312" w:hAnsi="仿宋_GB2312" w:eastAsia="仿宋_GB2312" w:cs="仿宋_GB2312"/>
          <w:color w:val="auto"/>
          <w:sz w:val="28"/>
          <w:szCs w:val="28"/>
          <w:lang w:val="zh-CN"/>
        </w:rPr>
        <w:t>联系方式</w:t>
      </w:r>
    </w:p>
    <w:p w14:paraId="08FB5126">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1.采购人信息</w:t>
      </w:r>
    </w:p>
    <w:p w14:paraId="45EBA66D">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名 称：云台山旅游股份有限公司</w:t>
      </w:r>
    </w:p>
    <w:p w14:paraId="22A4E0DA">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地 址：云台山景区百家岩综合服务楼</w:t>
      </w:r>
    </w:p>
    <w:p w14:paraId="5E2D9C16">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联系方式：0391-7709002</w:t>
      </w:r>
    </w:p>
    <w:p w14:paraId="48E8BF2A">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2.采购代理机构信息</w:t>
      </w:r>
    </w:p>
    <w:p w14:paraId="4DFFADFF">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名 称：焦作市公共资源项目服务有限责任公司</w:t>
      </w:r>
    </w:p>
    <w:p w14:paraId="3018FD2E">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地 址：焦作市人民路889号阳光大厦B座</w:t>
      </w:r>
    </w:p>
    <w:p w14:paraId="128C17A5">
      <w:pPr>
        <w:spacing w:line="560" w:lineRule="exact"/>
        <w:ind w:firstLine="560" w:firstLineChars="200"/>
        <w:jc w:val="both"/>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联系方式：0391-3568387</w:t>
      </w:r>
    </w:p>
    <w:p w14:paraId="59A3BFD9">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3.项目联系方式</w:t>
      </w:r>
    </w:p>
    <w:p w14:paraId="16845498">
      <w:pPr>
        <w:spacing w:line="560" w:lineRule="exact"/>
        <w:ind w:firstLine="560" w:firstLineChars="200"/>
        <w:jc w:val="both"/>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项目联系人：王先生             张女士</w:t>
      </w:r>
    </w:p>
    <w:p w14:paraId="1063FFEA">
      <w:pPr>
        <w:spacing w:line="560" w:lineRule="exact"/>
        <w:ind w:firstLine="560" w:firstLineChars="200"/>
        <w:jc w:val="both"/>
        <w:rPr>
          <w:rFonts w:hint="default" w:ascii="仿宋_GB2312" w:hAnsi="仿宋_GB2312" w:cs="仿宋_GB2312" w:eastAsiaTheme="minorEastAsia"/>
          <w:color w:val="auto"/>
          <w:sz w:val="28"/>
          <w:szCs w:val="28"/>
          <w:lang w:val="en-US" w:eastAsia="zh-CN"/>
        </w:rPr>
      </w:pPr>
      <w:r>
        <w:rPr>
          <w:rFonts w:hint="eastAsia" w:ascii="仿宋_GB2312" w:eastAsia="仿宋_GB2312"/>
          <w:color w:val="auto"/>
          <w:sz w:val="28"/>
          <w:szCs w:val="28"/>
          <w:lang w:val="en-US" w:eastAsia="zh-CN"/>
        </w:rPr>
        <w:t>电      话：0391-7709002      0391-3568387</w:t>
      </w:r>
    </w:p>
    <w:p w14:paraId="1A7C3DF4">
      <w:pPr>
        <w:spacing w:line="560" w:lineRule="exact"/>
        <w:jc w:val="center"/>
        <w:rPr>
          <w:rFonts w:hint="eastAsia" w:asciiTheme="minorEastAsia" w:hAnsiTheme="minorEastAsia" w:cstheme="minorEastAsia"/>
          <w:b/>
          <w:bCs/>
          <w:color w:val="auto"/>
          <w:sz w:val="32"/>
          <w:szCs w:val="32"/>
        </w:rPr>
      </w:pPr>
      <w:r>
        <w:rPr>
          <w:rFonts w:hint="eastAsia" w:ascii="仿宋_GB2312" w:hAnsi="仿宋_GB2312" w:eastAsia="仿宋_GB2312" w:cs="仿宋_GB2312"/>
          <w:color w:val="auto"/>
          <w:sz w:val="28"/>
          <w:szCs w:val="28"/>
        </w:rPr>
        <w:t xml:space="preserve"> </w:t>
      </w:r>
    </w:p>
    <w:p w14:paraId="4713D108">
      <w:pPr>
        <w:spacing w:line="560" w:lineRule="exact"/>
        <w:jc w:val="center"/>
        <w:rPr>
          <w:rFonts w:hint="eastAsia" w:asciiTheme="minorEastAsia" w:hAnsiTheme="minorEastAsia" w:cstheme="minorEastAsia"/>
          <w:b/>
          <w:bCs/>
          <w:color w:val="auto"/>
          <w:sz w:val="32"/>
          <w:szCs w:val="32"/>
        </w:rPr>
      </w:pPr>
    </w:p>
    <w:p w14:paraId="0A9489D3">
      <w:pPr>
        <w:spacing w:line="560" w:lineRule="exact"/>
        <w:jc w:val="center"/>
        <w:rPr>
          <w:rFonts w:hint="eastAsia" w:asciiTheme="minorEastAsia" w:hAnsiTheme="minorEastAsia" w:cstheme="minorEastAsia"/>
          <w:b/>
          <w:bCs/>
          <w:color w:val="auto"/>
          <w:sz w:val="32"/>
          <w:szCs w:val="32"/>
        </w:rPr>
      </w:pPr>
    </w:p>
    <w:p w14:paraId="35C0CF61">
      <w:pPr>
        <w:spacing w:line="560" w:lineRule="exact"/>
        <w:jc w:val="center"/>
        <w:rPr>
          <w:rFonts w:hint="eastAsia" w:asciiTheme="minorEastAsia" w:hAnsiTheme="minorEastAsia" w:cstheme="minorEastAsia"/>
          <w:b/>
          <w:bCs/>
          <w:color w:val="auto"/>
          <w:sz w:val="32"/>
          <w:szCs w:val="32"/>
        </w:rPr>
      </w:pPr>
    </w:p>
    <w:p w14:paraId="23509866">
      <w:pP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br w:type="page"/>
      </w:r>
    </w:p>
    <w:p w14:paraId="058CF991">
      <w:pPr>
        <w:spacing w:line="560" w:lineRule="exact"/>
        <w:jc w:val="center"/>
        <w:rPr>
          <w:rFonts w:ascii="仿宋_GB2312" w:hAnsi="仿宋_GB2312" w:eastAsia="仿宋_GB2312" w:cs="仿宋_GB2312"/>
          <w:color w:val="auto"/>
          <w:sz w:val="32"/>
          <w:szCs w:val="32"/>
        </w:rPr>
      </w:pPr>
      <w:r>
        <w:rPr>
          <w:rFonts w:hint="eastAsia" w:asciiTheme="minorEastAsia" w:hAnsiTheme="minorEastAsia" w:cstheme="minorEastAsia"/>
          <w:b/>
          <w:bCs/>
          <w:color w:val="auto"/>
          <w:sz w:val="32"/>
          <w:szCs w:val="32"/>
        </w:rPr>
        <w:t>第二部分    单一来源采购须知</w:t>
      </w:r>
    </w:p>
    <w:p w14:paraId="6154156A">
      <w:pPr>
        <w:spacing w:line="560" w:lineRule="exact"/>
        <w:ind w:firstLine="560" w:firstLineChars="200"/>
        <w:rPr>
          <w:rFonts w:hint="eastAsia" w:ascii="仿宋_GB2312" w:hAnsi="仿宋_GB2312" w:eastAsia="仿宋_GB2312" w:cs="仿宋_GB2312"/>
          <w:color w:val="auto"/>
          <w:sz w:val="28"/>
          <w:szCs w:val="28"/>
        </w:rPr>
      </w:pPr>
    </w:p>
    <w:p w14:paraId="0A4C9A2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一、时间安排</w:t>
      </w:r>
    </w:p>
    <w:p w14:paraId="134E03E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在单一来源采购文件规定的响应性文件递交截止时间后，采购代理机构组织采购小组与供应商就采购项目的技术、服务和价格等进行商谈。</w:t>
      </w:r>
    </w:p>
    <w:p w14:paraId="3909F810">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二、响应性文件组成</w:t>
      </w:r>
    </w:p>
    <w:p w14:paraId="4F5B112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响应性文件至少应包括以下部分但不限于：</w:t>
      </w:r>
    </w:p>
    <w:p w14:paraId="186ADEF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highlight w:val="none"/>
        </w:rPr>
        <w:t>供应商资格信用承诺函</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附件1）</w:t>
      </w:r>
      <w:r>
        <w:rPr>
          <w:rFonts w:hint="eastAsia" w:ascii="仿宋_GB2312" w:hAnsi="仿宋_GB2312" w:eastAsia="仿宋_GB2312" w:cs="仿宋_GB2312"/>
          <w:color w:val="auto"/>
          <w:sz w:val="28"/>
          <w:szCs w:val="28"/>
        </w:rPr>
        <w:t>；</w:t>
      </w:r>
    </w:p>
    <w:p w14:paraId="6F7FD09E">
      <w:pPr>
        <w:numPr>
          <w:ilvl w:val="0"/>
          <w:numId w:val="0"/>
        </w:num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2"/>
          <w:sz w:val="28"/>
          <w:szCs w:val="28"/>
          <w:lang w:val="en-US" w:eastAsia="zh-CN" w:bidi="ar-SA"/>
        </w:rPr>
        <w:t>2.</w:t>
      </w:r>
      <w:r>
        <w:rPr>
          <w:rFonts w:hint="eastAsia" w:ascii="仿宋_GB2312" w:hAnsi="仿宋_GB2312" w:eastAsia="仿宋_GB2312" w:cs="仿宋_GB2312"/>
          <w:color w:val="auto"/>
          <w:sz w:val="28"/>
          <w:szCs w:val="28"/>
        </w:rPr>
        <w:t>法定代表人身份证明书或授权委托书</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附件2）</w:t>
      </w:r>
      <w:r>
        <w:rPr>
          <w:rFonts w:hint="eastAsia" w:ascii="仿宋_GB2312" w:hAnsi="仿宋_GB2312" w:eastAsia="仿宋_GB2312" w:cs="仿宋_GB2312"/>
          <w:color w:val="auto"/>
          <w:sz w:val="28"/>
          <w:szCs w:val="28"/>
        </w:rPr>
        <w:t>；</w:t>
      </w:r>
    </w:p>
    <w:p w14:paraId="7805C3F5">
      <w:pPr>
        <w:numPr>
          <w:ilvl w:val="0"/>
          <w:numId w:val="0"/>
        </w:numPr>
        <w:spacing w:line="5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3.报价一览表</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附件3）</w:t>
      </w:r>
      <w:r>
        <w:rPr>
          <w:rFonts w:hint="eastAsia" w:ascii="仿宋_GB2312" w:hAnsi="仿宋_GB2312" w:eastAsia="仿宋_GB2312" w:cs="仿宋_GB2312"/>
          <w:color w:val="auto"/>
          <w:sz w:val="28"/>
          <w:szCs w:val="28"/>
          <w:lang w:val="en-US" w:eastAsia="zh-CN"/>
        </w:rPr>
        <w:t>；</w:t>
      </w:r>
    </w:p>
    <w:p w14:paraId="6B938294">
      <w:pPr>
        <w:numPr>
          <w:ilvl w:val="0"/>
          <w:numId w:val="0"/>
        </w:numPr>
        <w:spacing w:line="5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4.反商业贿赂承诺书（附件4）</w:t>
      </w:r>
    </w:p>
    <w:p w14:paraId="6CCDF087">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采购需求及商务要求响应表（自行设计）、同类项目合同价格以及相关专利、专有技术等情况说明；</w:t>
      </w:r>
    </w:p>
    <w:p w14:paraId="6D2A136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企业合同范本；</w:t>
      </w:r>
    </w:p>
    <w:p w14:paraId="3272FD36">
      <w:p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其他需要提供的资料。</w:t>
      </w:r>
    </w:p>
    <w:p w14:paraId="47418241">
      <w:pPr>
        <w:spacing w:line="560" w:lineRule="exact"/>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注：（1）根据《焦作市财政局关于实施政府采购信用承诺制度的通知》的规定，供应商在响应时，按照规定提供相关承诺函。</w:t>
      </w:r>
    </w:p>
    <w:p w14:paraId="3A59EFEB">
      <w:pPr>
        <w:spacing w:line="560" w:lineRule="exact"/>
        <w:ind w:firstLine="560" w:firstLineChars="200"/>
      </w:pPr>
      <w:r>
        <w:rPr>
          <w:rFonts w:hint="eastAsia" w:ascii="仿宋_GB2312" w:hAnsi="仿宋_GB2312" w:eastAsia="仿宋_GB2312" w:cs="仿宋_GB2312"/>
          <w:color w:val="auto"/>
          <w:sz w:val="28"/>
          <w:szCs w:val="28"/>
          <w:highlight w:val="none"/>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94A5E8E">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三、供应商的报价</w:t>
      </w:r>
      <w:bookmarkStart w:id="1" w:name="_GoBack"/>
      <w:bookmarkEnd w:id="1"/>
    </w:p>
    <w:p w14:paraId="03EEAB6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kern w:val="0"/>
          <w:sz w:val="28"/>
          <w:szCs w:val="28"/>
          <w:lang w:val="zh-CN" w:eastAsia="zh-CN" w:bidi="ar-SA"/>
        </w:rPr>
        <w:t>报价包括单一来源采购文件要求的全部服务及配套货物的价格相关税费等其他有关的所有费用</w:t>
      </w:r>
      <w:r>
        <w:rPr>
          <w:rFonts w:hint="eastAsia" w:ascii="仿宋_GB2312" w:hAnsi="仿宋_GB2312" w:eastAsia="仿宋_GB2312" w:cs="仿宋_GB2312"/>
          <w:color w:val="auto"/>
          <w:sz w:val="28"/>
          <w:szCs w:val="28"/>
        </w:rPr>
        <w:t>；</w:t>
      </w:r>
    </w:p>
    <w:p w14:paraId="58EB824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2、供应商的投标报价应根据</w:t>
      </w:r>
      <w:r>
        <w:rPr>
          <w:rFonts w:hint="eastAsia" w:ascii="仿宋_GB2312" w:hAnsi="仿宋_GB2312" w:eastAsia="仿宋_GB2312" w:cs="仿宋_GB2312"/>
          <w:color w:val="auto"/>
          <w:sz w:val="28"/>
          <w:szCs w:val="28"/>
          <w:lang w:val="en-US" w:eastAsia="zh-CN"/>
        </w:rPr>
        <w:t>服务范围、配套货物</w:t>
      </w:r>
      <w:r>
        <w:rPr>
          <w:rFonts w:hint="eastAsia" w:ascii="仿宋_GB2312" w:hAnsi="仿宋_GB2312" w:eastAsia="仿宋_GB2312" w:cs="仿宋_GB2312"/>
          <w:color w:val="auto"/>
          <w:sz w:val="28"/>
          <w:szCs w:val="28"/>
        </w:rPr>
        <w:t>和市场行情结合本项目实际情况和自身实力，进行报价。报价不得高于采购预算。</w:t>
      </w:r>
    </w:p>
    <w:p w14:paraId="0A70275D">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四、响应性文件递交</w:t>
      </w:r>
    </w:p>
    <w:p w14:paraId="4205D9A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1、响应性文件应于单一来源采购邀请函规定的响应性文件接收截止时间之前递交至指定的地点；</w:t>
      </w:r>
    </w:p>
    <w:p w14:paraId="34EAFC0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2、响应性文件须提供1份正本，</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份副本，并由法定代表人或其授权代表签署并加盖供应商公章。</w:t>
      </w:r>
    </w:p>
    <w:p w14:paraId="5A90EF07">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五、单一来源采购程序</w:t>
      </w:r>
    </w:p>
    <w:p w14:paraId="0AA37D9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1、采购小组：采购小组由相关专家（专业人员）组成。</w:t>
      </w:r>
    </w:p>
    <w:p w14:paraId="6C4BCDC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2、评审程序：</w:t>
      </w:r>
    </w:p>
    <w:p w14:paraId="05CCFBF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（1）采购小组审阅供应商所递交的响应性文件；</w:t>
      </w:r>
    </w:p>
    <w:p w14:paraId="3E6D516F">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（2）采购小组所有成员集中与单一供应商进行洽谈；</w:t>
      </w:r>
    </w:p>
    <w:p w14:paraId="158566B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（3）供应商做出最终报价；</w:t>
      </w:r>
    </w:p>
    <w:p w14:paraId="762FB16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（4）采购小组填写单一来源采购协商情况记录表。</w:t>
      </w:r>
    </w:p>
    <w:p w14:paraId="643B3E1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注意事项：如认为供应商报价或其他要求无法接受，采购小组可以拒绝其报价。</w:t>
      </w:r>
    </w:p>
    <w:p w14:paraId="219A779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六、出现下列情形之一的，采购人或者采购代理机构可终止采购活动，发布项目终止公告并说明原因，重新开展采购活动：</w:t>
      </w:r>
    </w:p>
    <w:p w14:paraId="209E4C65">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（1）因情况变化，不再符合规定的单一来源采购方式适用情形的；</w:t>
      </w:r>
    </w:p>
    <w:p w14:paraId="231892F7">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（2）出现影响采购公正的违法、违规行为的；</w:t>
      </w:r>
    </w:p>
    <w:p w14:paraId="22875508">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（3）报价超过采购预算的。</w:t>
      </w:r>
    </w:p>
    <w:p w14:paraId="6974E89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七、成交原则</w:t>
      </w:r>
    </w:p>
    <w:p w14:paraId="09DA540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采购人与供应商应当遵循政府采购法规定的原则，在保证采购质量和双方商定的基础上进行采购。</w:t>
      </w:r>
    </w:p>
    <w:p w14:paraId="3AE0B71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八、成交通知</w:t>
      </w:r>
    </w:p>
    <w:p w14:paraId="2F8C89A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采购代理机构在评审结束后，向成交供应商发出成交通知书，成交通知书将作为签订合同的依据，成交结果将在焦作市公共资源交易中心网（</w:t>
      </w:r>
      <w:r>
        <w:rPr>
          <w:rFonts w:hint="eastAsia" w:ascii="仿宋" w:hAnsi="仿宋" w:eastAsia="仿宋" w:cs="仿宋"/>
          <w:color w:val="auto"/>
          <w:sz w:val="28"/>
          <w:szCs w:val="28"/>
          <w:lang w:eastAsia="zh-CN"/>
        </w:rPr>
        <w:t>http</w:t>
      </w:r>
      <w:r>
        <w:rPr>
          <w:rFonts w:hint="eastAsia" w:ascii="仿宋" w:hAnsi="仿宋" w:eastAsia="仿宋" w:cs="仿宋"/>
          <w:color w:val="auto"/>
          <w:sz w:val="28"/>
          <w:szCs w:val="28"/>
          <w:lang w:val="en-US" w:eastAsia="zh-CN"/>
        </w:rPr>
        <w:t>s</w:t>
      </w:r>
      <w:r>
        <w:rPr>
          <w:rFonts w:hint="eastAsia" w:ascii="仿宋" w:hAnsi="仿宋" w:eastAsia="仿宋" w:cs="仿宋"/>
          <w:color w:val="auto"/>
          <w:sz w:val="28"/>
          <w:szCs w:val="28"/>
          <w:lang w:eastAsia="zh-CN"/>
        </w:rPr>
        <w:t>://ggzy.jiaozuo.gov.cn/</w:t>
      </w:r>
      <w:r>
        <w:rPr>
          <w:rFonts w:hint="eastAsia" w:ascii="仿宋_GB2312" w:hAnsi="仿宋_GB2312" w:eastAsia="仿宋_GB2312" w:cs="仿宋_GB2312"/>
          <w:color w:val="auto"/>
          <w:sz w:val="28"/>
          <w:szCs w:val="28"/>
        </w:rPr>
        <w:t>）或以其他方式公布。</w:t>
      </w:r>
    </w:p>
    <w:p w14:paraId="60ACF9D8">
      <w:pPr>
        <w:spacing w:line="560" w:lineRule="exact"/>
        <w:ind w:firstLine="560" w:firstLineChars="200"/>
        <w:rPr>
          <w:rFonts w:ascii="仿宋_GB2312" w:eastAsia="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w:t>
      </w:r>
      <w:r>
        <w:rPr>
          <w:rFonts w:hint="eastAsia" w:ascii="仿宋_GB2312" w:eastAsia="仿宋_GB2312"/>
          <w:color w:val="auto"/>
          <w:sz w:val="28"/>
          <w:szCs w:val="28"/>
        </w:rPr>
        <w:t>采购代理服务</w:t>
      </w:r>
      <w:r>
        <w:rPr>
          <w:rFonts w:hint="eastAsia" w:ascii="仿宋_GB2312" w:hAnsi="仿宋_GB2312" w:eastAsia="仿宋_GB2312" w:cs="仿宋_GB2312"/>
          <w:color w:val="auto"/>
          <w:sz w:val="28"/>
          <w:szCs w:val="28"/>
        </w:rPr>
        <w:t>费：</w:t>
      </w:r>
      <w:r>
        <w:rPr>
          <w:rFonts w:hint="eastAsia" w:ascii="仿宋_GB2312" w:hAnsi="仿宋_GB2312" w:eastAsia="仿宋_GB2312" w:cs="仿宋_GB2312"/>
          <w:color w:val="auto"/>
          <w:sz w:val="28"/>
          <w:szCs w:val="28"/>
          <w:lang w:val="en-US" w:eastAsia="zh-CN"/>
        </w:rPr>
        <w:t>定额收取5500.00元（大写：伍仟伍佰元整）</w:t>
      </w:r>
      <w:r>
        <w:rPr>
          <w:rFonts w:hint="eastAsia" w:ascii="仿宋_GB2312" w:hAnsi="仿宋_GB2312" w:eastAsia="仿宋_GB2312" w:cs="仿宋_GB2312"/>
          <w:color w:val="auto"/>
          <w:sz w:val="28"/>
          <w:szCs w:val="28"/>
        </w:rPr>
        <w:t>。</w:t>
      </w:r>
      <w:r>
        <w:rPr>
          <w:rFonts w:hint="eastAsia" w:ascii="仿宋_GB2312" w:eastAsia="仿宋_GB2312"/>
          <w:color w:val="auto"/>
          <w:sz w:val="28"/>
          <w:szCs w:val="28"/>
        </w:rPr>
        <w:t>成交供应商在领取成交通知书时须以刷卡或转账的方式向采购代理机构缴纳采购代理服务费。</w:t>
      </w:r>
    </w:p>
    <w:p w14:paraId="7AB96172">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账户名称：焦作市公共资源项目服务有限责任公司</w:t>
      </w:r>
    </w:p>
    <w:p w14:paraId="1A8D39A7">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开户银行：中国建设银行股份有限公司焦作焦西支行</w:t>
      </w:r>
    </w:p>
    <w:p w14:paraId="69E4FBF1">
      <w:pPr>
        <w:spacing w:line="560" w:lineRule="exact"/>
        <w:ind w:firstLine="560" w:firstLineChars="200"/>
        <w:rPr>
          <w:rFonts w:ascii="仿宋_GB2312" w:hAnsi="仿宋_GB2312" w:eastAsia="仿宋_GB2312" w:cs="仿宋_GB2312"/>
          <w:color w:val="auto"/>
          <w:sz w:val="28"/>
          <w:szCs w:val="28"/>
          <w:lang w:val="zh-CN"/>
        </w:rPr>
      </w:pPr>
      <w:r>
        <w:rPr>
          <w:rFonts w:hint="eastAsia" w:ascii="仿宋_GB2312" w:eastAsia="仿宋_GB2312"/>
          <w:color w:val="auto"/>
          <w:sz w:val="28"/>
          <w:szCs w:val="28"/>
        </w:rPr>
        <w:t>账号：4105 0164 6108 0000 0094。</w:t>
      </w:r>
    </w:p>
    <w:p w14:paraId="715DECC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九、签订合同及合同的执行</w:t>
      </w:r>
    </w:p>
    <w:p w14:paraId="1C77317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在约定的时间、地点，采购人与成交供应商根据有关评审结果签订合同。合同签订一式</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份，采购人</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份、供应商1份、采购代理机构1份；</w:t>
      </w:r>
    </w:p>
    <w:p w14:paraId="25445EBE">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单一来源采购文件、响应性文件及协商情况记录等均为签订合同的依据。</w:t>
      </w:r>
    </w:p>
    <w:p w14:paraId="294226C3">
      <w:pPr>
        <w:widowControl/>
        <w:jc w:val="left"/>
        <w:rPr>
          <w:rFonts w:ascii="宋体" w:hAnsi="宋体" w:eastAsia="宋体" w:cs="宋体"/>
          <w:b/>
          <w:bCs/>
          <w:color w:val="auto"/>
          <w:sz w:val="32"/>
          <w:szCs w:val="32"/>
        </w:rPr>
      </w:pPr>
      <w:r>
        <w:rPr>
          <w:rFonts w:ascii="宋体" w:hAnsi="宋体" w:eastAsia="宋体" w:cs="宋体"/>
          <w:b/>
          <w:bCs/>
          <w:color w:val="auto"/>
          <w:sz w:val="32"/>
          <w:szCs w:val="32"/>
        </w:rPr>
        <w:br w:type="page"/>
      </w:r>
    </w:p>
    <w:p w14:paraId="0F283096">
      <w:pPr>
        <w:numPr>
          <w:ilvl w:val="0"/>
          <w:numId w:val="2"/>
        </w:numPr>
        <w:spacing w:line="560" w:lineRule="exact"/>
        <w:ind w:firstLine="2570" w:firstLineChars="800"/>
        <w:jc w:val="left"/>
        <w:rPr>
          <w:rFonts w:ascii="宋体" w:hAnsi="宋体" w:eastAsia="宋体" w:cs="宋体"/>
          <w:b/>
          <w:bCs/>
          <w:color w:val="auto"/>
          <w:sz w:val="32"/>
          <w:szCs w:val="32"/>
        </w:rPr>
      </w:pPr>
      <w:r>
        <w:rPr>
          <w:rFonts w:hint="eastAsia" w:ascii="宋体" w:hAnsi="宋体" w:eastAsia="宋体" w:cs="宋体"/>
          <w:b/>
          <w:bCs/>
          <w:color w:val="auto"/>
          <w:sz w:val="32"/>
          <w:szCs w:val="32"/>
        </w:rPr>
        <w:t>采购需求</w:t>
      </w:r>
    </w:p>
    <w:p w14:paraId="2A92C77D">
      <w:pPr>
        <w:numPr>
          <w:ilvl w:val="0"/>
          <w:numId w:val="0"/>
        </w:numPr>
        <w:spacing w:line="560" w:lineRule="exact"/>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一、项目服务内容及要求</w:t>
      </w:r>
    </w:p>
    <w:p w14:paraId="7ACE8B5F">
      <w:pPr>
        <w:numPr>
          <w:ilvl w:val="0"/>
          <w:numId w:val="0"/>
        </w:numPr>
        <w:spacing w:line="560" w:lineRule="exact"/>
        <w:ind w:firstLine="560" w:firstLineChars="200"/>
        <w:jc w:val="both"/>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w:t>
      </w:r>
      <w:r>
        <w:rPr>
          <w:rFonts w:hint="default" w:ascii="仿宋" w:hAnsi="仿宋" w:eastAsia="仿宋" w:cs="仿宋"/>
          <w:b w:val="0"/>
          <w:bCs w:val="0"/>
          <w:color w:val="auto"/>
          <w:sz w:val="28"/>
          <w:szCs w:val="28"/>
          <w:lang w:val="en-US" w:eastAsia="zh-CN"/>
        </w:rPr>
        <w:t>云台山旅游股份有限公司客车二级维护采购项目车辆 242 辆，维护期三年，以实际需要维护车辆数为准。</w:t>
      </w:r>
    </w:p>
    <w:p w14:paraId="6ADBD873">
      <w:pPr>
        <w:numPr>
          <w:ilvl w:val="0"/>
          <w:numId w:val="0"/>
        </w:numPr>
        <w:spacing w:line="560" w:lineRule="exact"/>
        <w:ind w:firstLine="560" w:firstLineChars="200"/>
        <w:jc w:val="both"/>
        <w:rPr>
          <w:rFonts w:hint="default" w:ascii="仿宋" w:hAnsi="仿宋" w:eastAsia="仿宋" w:cs="仿宋"/>
          <w:b/>
          <w:bCs/>
          <w:color w:val="auto"/>
          <w:sz w:val="28"/>
          <w:szCs w:val="28"/>
          <w:lang w:val="en-US"/>
        </w:rPr>
      </w:pPr>
      <w:r>
        <w:rPr>
          <w:rFonts w:hint="eastAsia" w:ascii="仿宋" w:hAnsi="仿宋" w:eastAsia="仿宋" w:cs="仿宋"/>
          <w:b w:val="0"/>
          <w:bCs w:val="0"/>
          <w:color w:val="auto"/>
          <w:sz w:val="28"/>
          <w:szCs w:val="28"/>
          <w:lang w:val="en-US" w:eastAsia="zh-CN"/>
        </w:rPr>
        <w:t>2.营运客车二维作业项目</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212"/>
        <w:gridCol w:w="1188"/>
        <w:gridCol w:w="4725"/>
        <w:gridCol w:w="1228"/>
      </w:tblGrid>
      <w:tr w14:paraId="5CD0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D333C7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4"/>
                <w:szCs w:val="24"/>
                <w:u w:val="none"/>
                <w:lang w:val="en-US" w:eastAsia="zh-CN" w:bidi="ar"/>
              </w:rPr>
              <w:t>序号</w:t>
            </w:r>
          </w:p>
        </w:tc>
        <w:tc>
          <w:tcPr>
            <w:tcW w:w="1212" w:type="dxa"/>
            <w:vAlign w:val="center"/>
          </w:tcPr>
          <w:p w14:paraId="313B12C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4"/>
                <w:szCs w:val="24"/>
                <w:u w:val="none"/>
                <w:lang w:val="en-US" w:eastAsia="zh-CN" w:bidi="ar"/>
              </w:rPr>
              <w:t>检查部位</w:t>
            </w:r>
          </w:p>
        </w:tc>
        <w:tc>
          <w:tcPr>
            <w:tcW w:w="1188" w:type="dxa"/>
            <w:vAlign w:val="center"/>
          </w:tcPr>
          <w:p w14:paraId="3C71CB9A">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4"/>
                <w:szCs w:val="24"/>
                <w:u w:val="none"/>
                <w:lang w:val="en-US" w:eastAsia="zh-CN" w:bidi="ar"/>
              </w:rPr>
              <w:t>检验项目</w:t>
            </w:r>
          </w:p>
        </w:tc>
        <w:tc>
          <w:tcPr>
            <w:tcW w:w="4725" w:type="dxa"/>
            <w:vAlign w:val="center"/>
          </w:tcPr>
          <w:p w14:paraId="4A78DBD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4"/>
                <w:szCs w:val="24"/>
                <w:u w:val="none"/>
                <w:lang w:val="en-US" w:eastAsia="zh-CN" w:bidi="ar"/>
              </w:rPr>
              <w:t>技术要求</w:t>
            </w:r>
          </w:p>
        </w:tc>
        <w:tc>
          <w:tcPr>
            <w:tcW w:w="1228" w:type="dxa"/>
            <w:vAlign w:val="center"/>
          </w:tcPr>
          <w:p w14:paraId="5DE83D72">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4"/>
                <w:szCs w:val="24"/>
                <w:u w:val="none"/>
                <w:lang w:val="en-US" w:eastAsia="zh-CN" w:bidi="ar"/>
              </w:rPr>
              <w:t>检验方法</w:t>
            </w:r>
          </w:p>
        </w:tc>
      </w:tr>
      <w:tr w14:paraId="6C7A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01EC9D2">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1212" w:type="dxa"/>
            <w:vMerge w:val="restart"/>
            <w:vAlign w:val="center"/>
          </w:tcPr>
          <w:p w14:paraId="2DC2052B">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整车</w:t>
            </w:r>
          </w:p>
        </w:tc>
        <w:tc>
          <w:tcPr>
            <w:tcW w:w="1188" w:type="dxa"/>
            <w:vAlign w:val="center"/>
          </w:tcPr>
          <w:p w14:paraId="47072784">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清洁</w:t>
            </w:r>
          </w:p>
        </w:tc>
        <w:tc>
          <w:tcPr>
            <w:tcW w:w="4725" w:type="dxa"/>
            <w:vAlign w:val="center"/>
          </w:tcPr>
          <w:p w14:paraId="596E71E4">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全车外部、车厢内部及各总成外部清洁</w:t>
            </w:r>
          </w:p>
        </w:tc>
        <w:tc>
          <w:tcPr>
            <w:tcW w:w="1228" w:type="dxa"/>
            <w:vAlign w:val="center"/>
          </w:tcPr>
          <w:p w14:paraId="7ADF0384">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34D1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5EFDE1B">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2</w:t>
            </w:r>
          </w:p>
        </w:tc>
        <w:tc>
          <w:tcPr>
            <w:tcW w:w="1212" w:type="dxa"/>
            <w:vMerge w:val="continue"/>
            <w:vAlign w:val="center"/>
          </w:tcPr>
          <w:p w14:paraId="4B01967C">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11F07E6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紧固</w:t>
            </w:r>
          </w:p>
        </w:tc>
        <w:tc>
          <w:tcPr>
            <w:tcW w:w="4725" w:type="dxa"/>
            <w:vAlign w:val="center"/>
          </w:tcPr>
          <w:p w14:paraId="468F29B0">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各总成外部螺栓、螺母紧固，锁销齐全有效</w:t>
            </w:r>
          </w:p>
        </w:tc>
        <w:tc>
          <w:tcPr>
            <w:tcW w:w="1228" w:type="dxa"/>
            <w:vAlign w:val="center"/>
          </w:tcPr>
          <w:p w14:paraId="2026D05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检查</w:t>
            </w:r>
          </w:p>
        </w:tc>
      </w:tr>
      <w:tr w14:paraId="6CA80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F96C88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1212" w:type="dxa"/>
            <w:vMerge w:val="continue"/>
            <w:vAlign w:val="center"/>
          </w:tcPr>
          <w:p w14:paraId="262A836F">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2995B01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润滑</w:t>
            </w:r>
          </w:p>
        </w:tc>
        <w:tc>
          <w:tcPr>
            <w:tcW w:w="4725" w:type="dxa"/>
            <w:vAlign w:val="center"/>
          </w:tcPr>
          <w:p w14:paraId="386FFA00">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全车各个润滑部位的润滑装置齐全，润滑良好</w:t>
            </w:r>
          </w:p>
        </w:tc>
        <w:tc>
          <w:tcPr>
            <w:tcW w:w="1228" w:type="dxa"/>
            <w:vAlign w:val="center"/>
          </w:tcPr>
          <w:p w14:paraId="62B1E44D">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118E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C12D3EB">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4</w:t>
            </w:r>
          </w:p>
        </w:tc>
        <w:tc>
          <w:tcPr>
            <w:tcW w:w="1212" w:type="dxa"/>
            <w:vMerge w:val="continue"/>
            <w:vAlign w:val="center"/>
          </w:tcPr>
          <w:p w14:paraId="7828F15C">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26BA8449">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密封</w:t>
            </w:r>
          </w:p>
        </w:tc>
        <w:tc>
          <w:tcPr>
            <w:tcW w:w="4725" w:type="dxa"/>
            <w:vAlign w:val="center"/>
          </w:tcPr>
          <w:p w14:paraId="37A117E8">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全车密封良好，无漏油、无漏液和无漏气现象</w:t>
            </w:r>
          </w:p>
        </w:tc>
        <w:tc>
          <w:tcPr>
            <w:tcW w:w="1228" w:type="dxa"/>
            <w:vAlign w:val="center"/>
          </w:tcPr>
          <w:p w14:paraId="12255A3D">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6131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CA93674">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1212" w:type="dxa"/>
            <w:vMerge w:val="continue"/>
            <w:vAlign w:val="center"/>
          </w:tcPr>
          <w:p w14:paraId="371D942A">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7D96937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故障诊断</w:t>
            </w:r>
          </w:p>
        </w:tc>
        <w:tc>
          <w:tcPr>
            <w:tcW w:w="4725" w:type="dxa"/>
            <w:vAlign w:val="center"/>
          </w:tcPr>
          <w:p w14:paraId="3A623698">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装有车载诊断系统（OBD）的车辆，无故障信息</w:t>
            </w:r>
          </w:p>
        </w:tc>
        <w:tc>
          <w:tcPr>
            <w:tcW w:w="1228" w:type="dxa"/>
            <w:vAlign w:val="center"/>
          </w:tcPr>
          <w:p w14:paraId="71D3EAD1">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检测</w:t>
            </w:r>
          </w:p>
        </w:tc>
      </w:tr>
      <w:tr w14:paraId="606C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043004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6</w:t>
            </w:r>
          </w:p>
        </w:tc>
        <w:tc>
          <w:tcPr>
            <w:tcW w:w="1212" w:type="dxa"/>
            <w:vMerge w:val="continue"/>
            <w:vAlign w:val="center"/>
          </w:tcPr>
          <w:p w14:paraId="6E3A809E">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7B1D21C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附属设施</w:t>
            </w:r>
          </w:p>
        </w:tc>
        <w:tc>
          <w:tcPr>
            <w:tcW w:w="4725" w:type="dxa"/>
            <w:vAlign w:val="center"/>
          </w:tcPr>
          <w:p w14:paraId="622EBE1A">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后视镜、灭火器、客车安全锤、安全带、刮水器等齐全完好、功能正常</w:t>
            </w:r>
          </w:p>
        </w:tc>
        <w:tc>
          <w:tcPr>
            <w:tcW w:w="1228" w:type="dxa"/>
            <w:vAlign w:val="center"/>
          </w:tcPr>
          <w:p w14:paraId="764775F9">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770F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8B4C2F9">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1212" w:type="dxa"/>
            <w:vMerge w:val="restart"/>
            <w:vAlign w:val="center"/>
          </w:tcPr>
          <w:p w14:paraId="42B3DB3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发动机及其附件</w:t>
            </w:r>
          </w:p>
        </w:tc>
        <w:tc>
          <w:tcPr>
            <w:tcW w:w="1188" w:type="dxa"/>
            <w:vAlign w:val="center"/>
          </w:tcPr>
          <w:p w14:paraId="1EEDE22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发动机工作状况</w:t>
            </w:r>
          </w:p>
        </w:tc>
        <w:tc>
          <w:tcPr>
            <w:tcW w:w="4725" w:type="dxa"/>
            <w:vAlign w:val="center"/>
          </w:tcPr>
          <w:p w14:paraId="49F6D078">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在正常工作温度状态下，发动机起动三次，成功起动次数不少于两次，柴油机三次停机均应有效，发动机低、中、高速运转稳定、无异响</w:t>
            </w:r>
          </w:p>
        </w:tc>
        <w:tc>
          <w:tcPr>
            <w:tcW w:w="1228" w:type="dxa"/>
            <w:vAlign w:val="center"/>
          </w:tcPr>
          <w:p w14:paraId="0560C18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路试或检视</w:t>
            </w:r>
          </w:p>
        </w:tc>
      </w:tr>
      <w:tr w14:paraId="397A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0F9F96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1212" w:type="dxa"/>
            <w:vMerge w:val="continue"/>
            <w:vAlign w:val="center"/>
          </w:tcPr>
          <w:p w14:paraId="559E63EB">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0092C88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发动机装备</w:t>
            </w:r>
          </w:p>
        </w:tc>
        <w:tc>
          <w:tcPr>
            <w:tcW w:w="4725" w:type="dxa"/>
            <w:vAlign w:val="center"/>
          </w:tcPr>
          <w:p w14:paraId="53841EC9">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齐全有效</w:t>
            </w:r>
          </w:p>
        </w:tc>
        <w:tc>
          <w:tcPr>
            <w:tcW w:w="1228" w:type="dxa"/>
            <w:vAlign w:val="center"/>
          </w:tcPr>
          <w:p w14:paraId="74902D30">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0B5C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E1A444B">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9</w:t>
            </w:r>
          </w:p>
        </w:tc>
        <w:tc>
          <w:tcPr>
            <w:tcW w:w="1212" w:type="dxa"/>
            <w:vMerge w:val="restart"/>
            <w:vAlign w:val="center"/>
          </w:tcPr>
          <w:p w14:paraId="1E45F4C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制动系</w:t>
            </w:r>
          </w:p>
        </w:tc>
        <w:tc>
          <w:tcPr>
            <w:tcW w:w="1188" w:type="dxa"/>
            <w:vAlign w:val="center"/>
          </w:tcPr>
          <w:p w14:paraId="43D2A7B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行车制动性能</w:t>
            </w:r>
          </w:p>
        </w:tc>
        <w:tc>
          <w:tcPr>
            <w:tcW w:w="4725" w:type="dxa"/>
            <w:vAlign w:val="center"/>
          </w:tcPr>
          <w:p w14:paraId="6CAED10B">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符合GB7258规定，道路运输车辆符合GB18565规定</w:t>
            </w:r>
          </w:p>
        </w:tc>
        <w:tc>
          <w:tcPr>
            <w:tcW w:w="1228" w:type="dxa"/>
            <w:vAlign w:val="center"/>
          </w:tcPr>
          <w:p w14:paraId="41A4C3F8">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路试或检测</w:t>
            </w:r>
          </w:p>
        </w:tc>
      </w:tr>
      <w:tr w14:paraId="52C3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8CFEE30">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212" w:type="dxa"/>
            <w:vMerge w:val="continue"/>
            <w:vAlign w:val="center"/>
          </w:tcPr>
          <w:p w14:paraId="48AA410D">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37EABF68">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驻车制动性能</w:t>
            </w:r>
          </w:p>
        </w:tc>
        <w:tc>
          <w:tcPr>
            <w:tcW w:w="4725" w:type="dxa"/>
            <w:vAlign w:val="center"/>
          </w:tcPr>
          <w:p w14:paraId="7A33DFA5">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符合GB7258规定</w:t>
            </w:r>
          </w:p>
        </w:tc>
        <w:tc>
          <w:tcPr>
            <w:tcW w:w="1228" w:type="dxa"/>
            <w:vAlign w:val="center"/>
          </w:tcPr>
          <w:p w14:paraId="4AB2B854">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路试或检测</w:t>
            </w:r>
          </w:p>
        </w:tc>
      </w:tr>
      <w:tr w14:paraId="4A53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63C35A7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11</w:t>
            </w:r>
          </w:p>
        </w:tc>
        <w:tc>
          <w:tcPr>
            <w:tcW w:w="1212" w:type="dxa"/>
            <w:vMerge w:val="restart"/>
            <w:vAlign w:val="center"/>
          </w:tcPr>
          <w:p w14:paraId="330FF581">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转向系</w:t>
            </w:r>
          </w:p>
        </w:tc>
        <w:tc>
          <w:tcPr>
            <w:tcW w:w="1188" w:type="dxa"/>
            <w:vMerge w:val="restart"/>
            <w:vAlign w:val="center"/>
          </w:tcPr>
          <w:p w14:paraId="03A225FD">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转向机构</w:t>
            </w:r>
          </w:p>
        </w:tc>
        <w:tc>
          <w:tcPr>
            <w:tcW w:w="4725" w:type="dxa"/>
            <w:vAlign w:val="center"/>
          </w:tcPr>
          <w:p w14:paraId="010EEE38">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转向机构各部件连接可靠，锁止、限位功能正常，转向时无运动干涉，转向轻便灵活，转向无卡滞现象</w:t>
            </w:r>
          </w:p>
        </w:tc>
        <w:tc>
          <w:tcPr>
            <w:tcW w:w="1228" w:type="dxa"/>
            <w:vMerge w:val="restart"/>
            <w:vAlign w:val="center"/>
          </w:tcPr>
          <w:p w14:paraId="50A9269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4158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62E78C9A">
            <w:pPr>
              <w:jc w:val="center"/>
              <w:rPr>
                <w:rFonts w:hint="eastAsia" w:ascii="仿宋" w:hAnsi="仿宋" w:eastAsia="仿宋" w:cs="仿宋"/>
                <w:b/>
                <w:bCs/>
                <w:color w:val="auto"/>
                <w:sz w:val="28"/>
                <w:szCs w:val="28"/>
                <w:vertAlign w:val="baseline"/>
                <w:lang w:val="en-US" w:eastAsia="zh-CN"/>
              </w:rPr>
            </w:pPr>
          </w:p>
        </w:tc>
        <w:tc>
          <w:tcPr>
            <w:tcW w:w="1212" w:type="dxa"/>
            <w:vMerge w:val="continue"/>
            <w:vAlign w:val="center"/>
          </w:tcPr>
          <w:p w14:paraId="15D5CB48">
            <w:pPr>
              <w:jc w:val="center"/>
              <w:rPr>
                <w:rFonts w:hint="eastAsia" w:ascii="仿宋" w:hAnsi="仿宋" w:eastAsia="仿宋" w:cs="仿宋"/>
                <w:b/>
                <w:bCs/>
                <w:color w:val="auto"/>
                <w:sz w:val="28"/>
                <w:szCs w:val="28"/>
                <w:vertAlign w:val="baseline"/>
                <w:lang w:val="en-US" w:eastAsia="zh-CN"/>
              </w:rPr>
            </w:pPr>
          </w:p>
        </w:tc>
        <w:tc>
          <w:tcPr>
            <w:tcW w:w="1188" w:type="dxa"/>
            <w:vMerge w:val="continue"/>
            <w:vAlign w:val="center"/>
          </w:tcPr>
          <w:p w14:paraId="6FBCCB14">
            <w:pPr>
              <w:jc w:val="center"/>
              <w:rPr>
                <w:rFonts w:hint="eastAsia" w:ascii="仿宋" w:hAnsi="仿宋" w:eastAsia="仿宋" w:cs="仿宋"/>
                <w:b/>
                <w:bCs/>
                <w:color w:val="auto"/>
                <w:sz w:val="28"/>
                <w:szCs w:val="28"/>
                <w:vertAlign w:val="baseline"/>
                <w:lang w:val="en-US" w:eastAsia="zh-CN"/>
              </w:rPr>
            </w:pPr>
          </w:p>
        </w:tc>
        <w:tc>
          <w:tcPr>
            <w:tcW w:w="4725" w:type="dxa"/>
            <w:vAlign w:val="center"/>
          </w:tcPr>
          <w:p w14:paraId="7FD95462">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转向节臂、转向器摇臂及横直拉杆无变形、裂纹和拼焊现象，球销无裂纹、不松旷，转向器无裂损、无漏油现象</w:t>
            </w:r>
          </w:p>
        </w:tc>
        <w:tc>
          <w:tcPr>
            <w:tcW w:w="1228" w:type="dxa"/>
            <w:vMerge w:val="continue"/>
            <w:vAlign w:val="center"/>
          </w:tcPr>
          <w:p w14:paraId="2E856657">
            <w:pPr>
              <w:jc w:val="center"/>
              <w:rPr>
                <w:rFonts w:hint="eastAsia" w:ascii="仿宋" w:hAnsi="仿宋" w:eastAsia="仿宋" w:cs="仿宋"/>
                <w:b/>
                <w:bCs/>
                <w:color w:val="auto"/>
                <w:sz w:val="28"/>
                <w:szCs w:val="28"/>
                <w:vertAlign w:val="baseline"/>
                <w:lang w:val="en-US" w:eastAsia="zh-CN"/>
              </w:rPr>
            </w:pPr>
          </w:p>
        </w:tc>
      </w:tr>
      <w:tr w14:paraId="003B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66FBB12">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12</w:t>
            </w:r>
          </w:p>
        </w:tc>
        <w:tc>
          <w:tcPr>
            <w:tcW w:w="1212" w:type="dxa"/>
            <w:vMerge w:val="continue"/>
            <w:vAlign w:val="center"/>
          </w:tcPr>
          <w:p w14:paraId="3085B43A">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2F822B0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转向盘最大自由转动量</w:t>
            </w:r>
          </w:p>
        </w:tc>
        <w:tc>
          <w:tcPr>
            <w:tcW w:w="4725" w:type="dxa"/>
            <w:vAlign w:val="center"/>
          </w:tcPr>
          <w:p w14:paraId="5E5EE0BC">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最高设计车速不小于100km/h的车辆，其转向盘的最大自由转动量不大于15°，其他车辆不大于25°</w:t>
            </w:r>
          </w:p>
        </w:tc>
        <w:tc>
          <w:tcPr>
            <w:tcW w:w="1228" w:type="dxa"/>
            <w:vAlign w:val="center"/>
          </w:tcPr>
          <w:p w14:paraId="44CAFCC1">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检测</w:t>
            </w:r>
          </w:p>
        </w:tc>
      </w:tr>
      <w:tr w14:paraId="269B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22A7B21">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13</w:t>
            </w:r>
          </w:p>
        </w:tc>
        <w:tc>
          <w:tcPr>
            <w:tcW w:w="1212" w:type="dxa"/>
            <w:vMerge w:val="restart"/>
            <w:vAlign w:val="center"/>
          </w:tcPr>
          <w:p w14:paraId="7E2F7E45">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行驶系</w:t>
            </w:r>
          </w:p>
        </w:tc>
        <w:tc>
          <w:tcPr>
            <w:tcW w:w="1188" w:type="dxa"/>
            <w:vAlign w:val="center"/>
          </w:tcPr>
          <w:p w14:paraId="5E367C9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轮胎</w:t>
            </w:r>
          </w:p>
        </w:tc>
        <w:tc>
          <w:tcPr>
            <w:tcW w:w="4725" w:type="dxa"/>
            <w:vAlign w:val="center"/>
          </w:tcPr>
          <w:p w14:paraId="02AB8DA4">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同轴轮胎应为相同的规格和花纹，公路客车（客运班车）、旅游客车、校车和危险品运输车的所有车轮及其他机动车的转向轮不得装用翻新的轮胎，轮胎花纹深度及气压符合规定，轮胎的胎冠、胎壁不得有长度超过25mm或深度足以暴露出帘布层的破裂和割伤以及凸起、异物刺入等影响使用的缺陷</w:t>
            </w:r>
          </w:p>
        </w:tc>
        <w:tc>
          <w:tcPr>
            <w:tcW w:w="1228" w:type="dxa"/>
            <w:vAlign w:val="center"/>
          </w:tcPr>
          <w:p w14:paraId="22E20D5D">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检查检测</w:t>
            </w:r>
          </w:p>
        </w:tc>
      </w:tr>
      <w:tr w14:paraId="3950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4081EA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14</w:t>
            </w:r>
          </w:p>
        </w:tc>
        <w:tc>
          <w:tcPr>
            <w:tcW w:w="1212" w:type="dxa"/>
            <w:vMerge w:val="continue"/>
            <w:vAlign w:val="center"/>
          </w:tcPr>
          <w:p w14:paraId="7E4E4251">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608FBD78">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转向轮横向侧滑量</w:t>
            </w:r>
          </w:p>
        </w:tc>
        <w:tc>
          <w:tcPr>
            <w:tcW w:w="4725" w:type="dxa"/>
            <w:vAlign w:val="center"/>
          </w:tcPr>
          <w:p w14:paraId="2ED44595">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符合GB7258规定，道路运输车辆符合GB18565规定</w:t>
            </w:r>
          </w:p>
        </w:tc>
        <w:tc>
          <w:tcPr>
            <w:tcW w:w="1228" w:type="dxa"/>
            <w:vAlign w:val="center"/>
          </w:tcPr>
          <w:p w14:paraId="7FF4FE09">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检测</w:t>
            </w:r>
          </w:p>
        </w:tc>
      </w:tr>
      <w:tr w14:paraId="017D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8FF9E1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1212" w:type="dxa"/>
            <w:vMerge w:val="continue"/>
            <w:vAlign w:val="center"/>
          </w:tcPr>
          <w:p w14:paraId="5614E5C6">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15EB780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悬架</w:t>
            </w:r>
          </w:p>
        </w:tc>
        <w:tc>
          <w:tcPr>
            <w:tcW w:w="4725" w:type="dxa"/>
            <w:vAlign w:val="center"/>
          </w:tcPr>
          <w:p w14:paraId="0C76A6FA">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空气弹簧无泄漏，外观无损伤，钢板弹无断片，缺片、移位和变形，各部件连接可靠，U形螺栓螺母扭紧力矩符合规定</w:t>
            </w:r>
          </w:p>
        </w:tc>
        <w:tc>
          <w:tcPr>
            <w:tcW w:w="1228" w:type="dxa"/>
            <w:vAlign w:val="center"/>
          </w:tcPr>
          <w:p w14:paraId="45E0DAA2">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检查</w:t>
            </w:r>
          </w:p>
        </w:tc>
      </w:tr>
      <w:tr w14:paraId="1635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488A2F17">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16</w:t>
            </w:r>
          </w:p>
        </w:tc>
        <w:tc>
          <w:tcPr>
            <w:tcW w:w="1212" w:type="dxa"/>
            <w:vMerge w:val="continue"/>
            <w:vAlign w:val="center"/>
          </w:tcPr>
          <w:p w14:paraId="3E70B6EB">
            <w:pPr>
              <w:jc w:val="center"/>
              <w:rPr>
                <w:rFonts w:hint="eastAsia" w:ascii="仿宋" w:hAnsi="仿宋" w:eastAsia="仿宋" w:cs="仿宋"/>
                <w:b/>
                <w:bCs/>
                <w:color w:val="auto"/>
                <w:sz w:val="28"/>
                <w:szCs w:val="28"/>
                <w:vertAlign w:val="baseline"/>
                <w:lang w:val="en-US" w:eastAsia="zh-CN"/>
              </w:rPr>
            </w:pPr>
          </w:p>
        </w:tc>
        <w:tc>
          <w:tcPr>
            <w:tcW w:w="1188" w:type="dxa"/>
            <w:vMerge w:val="restart"/>
            <w:vAlign w:val="center"/>
          </w:tcPr>
          <w:p w14:paraId="3EF75A19">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减振器车桥</w:t>
            </w:r>
          </w:p>
        </w:tc>
        <w:tc>
          <w:tcPr>
            <w:tcW w:w="4725" w:type="dxa"/>
            <w:vAlign w:val="center"/>
          </w:tcPr>
          <w:p w14:paraId="76160530">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减震器稳固有效，无漏油现象，橡胶垫无松动、变形及分层</w:t>
            </w:r>
          </w:p>
        </w:tc>
        <w:tc>
          <w:tcPr>
            <w:tcW w:w="1228" w:type="dxa"/>
            <w:vAlign w:val="center"/>
          </w:tcPr>
          <w:p w14:paraId="6676E1C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检查</w:t>
            </w:r>
          </w:p>
        </w:tc>
      </w:tr>
      <w:tr w14:paraId="00E8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0EE7361">
            <w:pPr>
              <w:jc w:val="center"/>
              <w:rPr>
                <w:rFonts w:hint="eastAsia" w:ascii="仿宋" w:hAnsi="仿宋" w:eastAsia="仿宋" w:cs="仿宋"/>
                <w:b/>
                <w:bCs/>
                <w:color w:val="auto"/>
                <w:sz w:val="28"/>
                <w:szCs w:val="28"/>
                <w:vertAlign w:val="baseline"/>
                <w:lang w:val="en-US" w:eastAsia="zh-CN"/>
              </w:rPr>
            </w:pPr>
          </w:p>
        </w:tc>
        <w:tc>
          <w:tcPr>
            <w:tcW w:w="1212" w:type="dxa"/>
            <w:vMerge w:val="continue"/>
            <w:vAlign w:val="center"/>
          </w:tcPr>
          <w:p w14:paraId="2A39131C">
            <w:pPr>
              <w:jc w:val="center"/>
              <w:rPr>
                <w:rFonts w:hint="eastAsia" w:ascii="仿宋" w:hAnsi="仿宋" w:eastAsia="仿宋" w:cs="仿宋"/>
                <w:b/>
                <w:bCs/>
                <w:color w:val="auto"/>
                <w:sz w:val="28"/>
                <w:szCs w:val="28"/>
                <w:vertAlign w:val="baseline"/>
                <w:lang w:val="en-US" w:eastAsia="zh-CN"/>
              </w:rPr>
            </w:pPr>
          </w:p>
        </w:tc>
        <w:tc>
          <w:tcPr>
            <w:tcW w:w="1188" w:type="dxa"/>
            <w:vMerge w:val="continue"/>
            <w:vAlign w:val="center"/>
          </w:tcPr>
          <w:p w14:paraId="29B456A4">
            <w:pPr>
              <w:jc w:val="center"/>
              <w:rPr>
                <w:rFonts w:hint="eastAsia" w:ascii="仿宋" w:hAnsi="仿宋" w:eastAsia="仿宋" w:cs="仿宋"/>
                <w:b/>
                <w:bCs/>
                <w:color w:val="auto"/>
                <w:sz w:val="28"/>
                <w:szCs w:val="28"/>
                <w:vertAlign w:val="baseline"/>
                <w:lang w:val="en-US" w:eastAsia="zh-CN"/>
              </w:rPr>
            </w:pPr>
          </w:p>
        </w:tc>
        <w:tc>
          <w:tcPr>
            <w:tcW w:w="4725" w:type="dxa"/>
            <w:vAlign w:val="center"/>
          </w:tcPr>
          <w:p w14:paraId="6464A047">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无变形、表面无裂痕，密封良好</w:t>
            </w:r>
          </w:p>
        </w:tc>
        <w:tc>
          <w:tcPr>
            <w:tcW w:w="1228" w:type="dxa"/>
            <w:vAlign w:val="center"/>
          </w:tcPr>
          <w:p w14:paraId="391985C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027A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A9EC17A">
            <w:pPr>
              <w:keepNext w:val="0"/>
              <w:keepLines w:val="0"/>
              <w:widowControl/>
              <w:suppressLineNumbers w:val="0"/>
              <w:jc w:val="center"/>
              <w:textAlignment w:val="center"/>
              <w:rPr>
                <w:rFonts w:hint="default"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17</w:t>
            </w:r>
          </w:p>
        </w:tc>
        <w:tc>
          <w:tcPr>
            <w:tcW w:w="1212" w:type="dxa"/>
            <w:vMerge w:val="restart"/>
            <w:vAlign w:val="center"/>
          </w:tcPr>
          <w:p w14:paraId="0A2D521D">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传动系</w:t>
            </w:r>
          </w:p>
        </w:tc>
        <w:tc>
          <w:tcPr>
            <w:tcW w:w="1188" w:type="dxa"/>
            <w:vAlign w:val="center"/>
          </w:tcPr>
          <w:p w14:paraId="53B5F2C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离合器</w:t>
            </w:r>
          </w:p>
        </w:tc>
        <w:tc>
          <w:tcPr>
            <w:tcW w:w="4725" w:type="dxa"/>
            <w:vAlign w:val="center"/>
          </w:tcPr>
          <w:p w14:paraId="590F7337">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离合器接合平稳，分离彻底，操作轻便，无异响、打滑、抖动和沉重等现象</w:t>
            </w:r>
          </w:p>
        </w:tc>
        <w:tc>
          <w:tcPr>
            <w:tcW w:w="1228" w:type="dxa"/>
            <w:vAlign w:val="center"/>
          </w:tcPr>
          <w:p w14:paraId="1BB3685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路试</w:t>
            </w:r>
          </w:p>
        </w:tc>
      </w:tr>
      <w:tr w14:paraId="2113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684878F">
            <w:pPr>
              <w:keepNext w:val="0"/>
              <w:keepLines w:val="0"/>
              <w:widowControl/>
              <w:suppressLineNumbers w:val="0"/>
              <w:jc w:val="center"/>
              <w:textAlignment w:val="center"/>
              <w:rPr>
                <w:rFonts w:hint="default"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18</w:t>
            </w:r>
          </w:p>
        </w:tc>
        <w:tc>
          <w:tcPr>
            <w:tcW w:w="1212" w:type="dxa"/>
            <w:vMerge w:val="continue"/>
            <w:vAlign w:val="center"/>
          </w:tcPr>
          <w:p w14:paraId="0B42E5F0">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1F45AB92">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变速器、传动轴、主减速器</w:t>
            </w:r>
          </w:p>
        </w:tc>
        <w:tc>
          <w:tcPr>
            <w:tcW w:w="4725" w:type="dxa"/>
            <w:vAlign w:val="center"/>
          </w:tcPr>
          <w:p w14:paraId="37575CE4">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变速器操纵轻便、挡位准确，无异响、打滑及乱挡等异常现象，传动轴、主减速器工作无异响</w:t>
            </w:r>
          </w:p>
        </w:tc>
        <w:tc>
          <w:tcPr>
            <w:tcW w:w="1228" w:type="dxa"/>
            <w:vAlign w:val="center"/>
          </w:tcPr>
          <w:p w14:paraId="58DABAE4">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路试</w:t>
            </w:r>
          </w:p>
        </w:tc>
      </w:tr>
      <w:tr w14:paraId="43B2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7F998B7">
            <w:pPr>
              <w:keepNext w:val="0"/>
              <w:keepLines w:val="0"/>
              <w:widowControl/>
              <w:suppressLineNumbers w:val="0"/>
              <w:jc w:val="center"/>
              <w:textAlignment w:val="center"/>
              <w:rPr>
                <w:rFonts w:hint="default"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19</w:t>
            </w:r>
          </w:p>
        </w:tc>
        <w:tc>
          <w:tcPr>
            <w:tcW w:w="1212" w:type="dxa"/>
            <w:vAlign w:val="center"/>
          </w:tcPr>
          <w:p w14:paraId="197CC80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牵引连接装置</w:t>
            </w:r>
          </w:p>
        </w:tc>
        <w:tc>
          <w:tcPr>
            <w:tcW w:w="1188" w:type="dxa"/>
            <w:vAlign w:val="center"/>
          </w:tcPr>
          <w:p w14:paraId="635D912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牵引连接装置和锁止机构</w:t>
            </w:r>
          </w:p>
        </w:tc>
        <w:tc>
          <w:tcPr>
            <w:tcW w:w="4725" w:type="dxa"/>
            <w:vAlign w:val="center"/>
          </w:tcPr>
          <w:p w14:paraId="47120DEF">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汽车与挂车牵引连接装置连接可靠，锁止、释放机构工作可靠</w:t>
            </w:r>
          </w:p>
        </w:tc>
        <w:tc>
          <w:tcPr>
            <w:tcW w:w="1228" w:type="dxa"/>
            <w:vAlign w:val="center"/>
          </w:tcPr>
          <w:p w14:paraId="0BFE93A5">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检查</w:t>
            </w:r>
          </w:p>
        </w:tc>
      </w:tr>
      <w:tr w14:paraId="3635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322C9C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1212" w:type="dxa"/>
            <w:vMerge w:val="restart"/>
            <w:vAlign w:val="center"/>
          </w:tcPr>
          <w:p w14:paraId="6A08E666">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照明、信号指示装置和仪表</w:t>
            </w:r>
          </w:p>
        </w:tc>
        <w:tc>
          <w:tcPr>
            <w:tcW w:w="1188" w:type="dxa"/>
            <w:vAlign w:val="center"/>
          </w:tcPr>
          <w:p w14:paraId="24E6B6C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前照灯</w:t>
            </w:r>
          </w:p>
        </w:tc>
        <w:tc>
          <w:tcPr>
            <w:tcW w:w="4725" w:type="dxa"/>
            <w:vAlign w:val="center"/>
          </w:tcPr>
          <w:p w14:paraId="7DC64292">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完好有效，工作正常，性能符合GB7258规定</w:t>
            </w:r>
          </w:p>
        </w:tc>
        <w:tc>
          <w:tcPr>
            <w:tcW w:w="1228" w:type="dxa"/>
            <w:vAlign w:val="center"/>
          </w:tcPr>
          <w:p w14:paraId="4439387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检视检测</w:t>
            </w:r>
          </w:p>
        </w:tc>
      </w:tr>
      <w:tr w14:paraId="7366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45AC04E">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21</w:t>
            </w:r>
          </w:p>
        </w:tc>
        <w:tc>
          <w:tcPr>
            <w:tcW w:w="1212" w:type="dxa"/>
            <w:vMerge w:val="continue"/>
            <w:vAlign w:val="center"/>
          </w:tcPr>
          <w:p w14:paraId="79FED9A0">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29E13018">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信号指示装置</w:t>
            </w:r>
          </w:p>
        </w:tc>
        <w:tc>
          <w:tcPr>
            <w:tcW w:w="4725" w:type="dxa"/>
            <w:vAlign w:val="center"/>
          </w:tcPr>
          <w:p w14:paraId="40B16769">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转向灯、制动灯、示廓灯、危险报警灯、雾灯、喇叭、标志灯及反射器等信号指示装置完好有效</w:t>
            </w:r>
          </w:p>
        </w:tc>
        <w:tc>
          <w:tcPr>
            <w:tcW w:w="1228" w:type="dxa"/>
            <w:vAlign w:val="center"/>
          </w:tcPr>
          <w:p w14:paraId="0AAEA3BF">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65EC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1A96A7C">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1212" w:type="dxa"/>
            <w:vMerge w:val="continue"/>
            <w:vAlign w:val="center"/>
          </w:tcPr>
          <w:p w14:paraId="1C272611">
            <w:pPr>
              <w:jc w:val="center"/>
              <w:rPr>
                <w:rFonts w:hint="eastAsia" w:ascii="仿宋" w:hAnsi="仿宋" w:eastAsia="仿宋" w:cs="仿宋"/>
                <w:b/>
                <w:bCs/>
                <w:color w:val="auto"/>
                <w:sz w:val="28"/>
                <w:szCs w:val="28"/>
                <w:vertAlign w:val="baseline"/>
                <w:lang w:val="en-US" w:eastAsia="zh-CN"/>
              </w:rPr>
            </w:pPr>
          </w:p>
        </w:tc>
        <w:tc>
          <w:tcPr>
            <w:tcW w:w="1188" w:type="dxa"/>
            <w:vAlign w:val="center"/>
          </w:tcPr>
          <w:p w14:paraId="4514E74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仪表</w:t>
            </w:r>
          </w:p>
        </w:tc>
        <w:tc>
          <w:tcPr>
            <w:tcW w:w="4725" w:type="dxa"/>
            <w:vAlign w:val="center"/>
          </w:tcPr>
          <w:p w14:paraId="1AA5BBDA">
            <w:pPr>
              <w:keepNext w:val="0"/>
              <w:keepLines w:val="0"/>
              <w:widowControl/>
              <w:suppressLineNumbers w:val="0"/>
              <w:jc w:val="left"/>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各类仪表工作正常</w:t>
            </w:r>
          </w:p>
        </w:tc>
        <w:tc>
          <w:tcPr>
            <w:tcW w:w="1228" w:type="dxa"/>
            <w:vAlign w:val="center"/>
          </w:tcPr>
          <w:p w14:paraId="45CE2B13">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检视</w:t>
            </w:r>
          </w:p>
        </w:tc>
      </w:tr>
      <w:tr w14:paraId="4708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C298E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1212" w:type="dxa"/>
            <w:vAlign w:val="center"/>
          </w:tcPr>
          <w:p w14:paraId="2DA0E788">
            <w:pPr>
              <w:keepNext w:val="0"/>
              <w:keepLines w:val="0"/>
              <w:widowControl/>
              <w:suppressLineNumbers w:val="0"/>
              <w:jc w:val="center"/>
              <w:textAlignment w:val="center"/>
              <w:rPr>
                <w:rFonts w:hint="eastAsia" w:ascii="仿宋" w:hAnsi="仿宋" w:eastAsia="仿宋" w:cs="仿宋"/>
                <w:b/>
                <w:bCs/>
                <w:color w:val="auto"/>
                <w:sz w:val="28"/>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排放</w:t>
            </w:r>
          </w:p>
        </w:tc>
        <w:tc>
          <w:tcPr>
            <w:tcW w:w="1188" w:type="dxa"/>
            <w:vAlign w:val="center"/>
          </w:tcPr>
          <w:p w14:paraId="27EBAF2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排气污染物</w:t>
            </w:r>
          </w:p>
        </w:tc>
        <w:tc>
          <w:tcPr>
            <w:tcW w:w="4725" w:type="dxa"/>
            <w:vAlign w:val="center"/>
          </w:tcPr>
          <w:p w14:paraId="3286BB1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汽油车采用双怠速法，应符合GB18285规定。柴油车采用自由加速法，应符合GB3847规定</w:t>
            </w:r>
          </w:p>
        </w:tc>
        <w:tc>
          <w:tcPr>
            <w:tcW w:w="1228" w:type="dxa"/>
            <w:vAlign w:val="center"/>
          </w:tcPr>
          <w:p w14:paraId="6D1BDB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检测</w:t>
            </w:r>
          </w:p>
        </w:tc>
      </w:tr>
    </w:tbl>
    <w:p w14:paraId="083F1D04">
      <w:pPr>
        <w:numPr>
          <w:ilvl w:val="0"/>
          <w:numId w:val="0"/>
        </w:numPr>
        <w:spacing w:line="560" w:lineRule="exact"/>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二、项目商务要求</w:t>
      </w:r>
    </w:p>
    <w:p w14:paraId="3FCF7C28">
      <w:pPr>
        <w:adjustRightInd w:val="0"/>
        <w:spacing w:line="560" w:lineRule="exact"/>
        <w:ind w:firstLine="584" w:firstLineChars="200"/>
        <w:textAlignment w:val="baseline"/>
        <w:rPr>
          <w:rFonts w:hint="eastAsia" w:ascii="仿宋_GB2312" w:hAnsi="Times New Roman" w:eastAsia="仿宋_GB2312"/>
          <w:color w:val="auto"/>
          <w:spacing w:val="6"/>
          <w:sz w:val="28"/>
          <w:szCs w:val="28"/>
        </w:rPr>
      </w:pPr>
      <w:r>
        <w:rPr>
          <w:rFonts w:hint="eastAsia" w:ascii="仿宋_GB2312" w:hAnsi="Times New Roman" w:eastAsia="仿宋_GB2312" w:cs="Times New Roman"/>
          <w:color w:val="auto"/>
          <w:spacing w:val="6"/>
          <w:sz w:val="28"/>
          <w:szCs w:val="28"/>
        </w:rPr>
        <w:t>1.付款方式：一年三次，每次检测完付一次的检测费</w:t>
      </w:r>
      <w:r>
        <w:rPr>
          <w:rFonts w:hint="eastAsia" w:ascii="仿宋_GB2312" w:hAnsi="Times New Roman" w:eastAsia="仿宋_GB2312"/>
          <w:color w:val="auto"/>
          <w:spacing w:val="6"/>
          <w:sz w:val="28"/>
          <w:szCs w:val="28"/>
        </w:rPr>
        <w:t>。</w:t>
      </w:r>
    </w:p>
    <w:p w14:paraId="3C9F9CD6">
      <w:pPr>
        <w:adjustRightInd w:val="0"/>
        <w:spacing w:line="560" w:lineRule="exact"/>
        <w:ind w:firstLine="584" w:firstLineChars="200"/>
        <w:textAlignment w:val="baseline"/>
        <w:rPr>
          <w:rFonts w:hint="eastAsia" w:ascii="仿宋_GB2312" w:hAnsi="Times New Roman" w:eastAsia="仿宋_GB2312" w:cs="Times New Roman"/>
          <w:color w:val="auto"/>
          <w:spacing w:val="6"/>
          <w:sz w:val="28"/>
          <w:szCs w:val="28"/>
        </w:rPr>
      </w:pPr>
      <w:r>
        <w:rPr>
          <w:rFonts w:hint="eastAsia" w:ascii="仿宋_GB2312" w:hAnsi="Times New Roman" w:eastAsia="仿宋_GB2312" w:cs="Times New Roman"/>
          <w:color w:val="auto"/>
          <w:spacing w:val="6"/>
          <w:sz w:val="28"/>
          <w:szCs w:val="28"/>
        </w:rPr>
        <w:t>2.服务期限：</w:t>
      </w:r>
      <w:r>
        <w:rPr>
          <w:rFonts w:hint="eastAsia" w:ascii="仿宋_GB2312" w:hAnsi="Times New Roman" w:eastAsia="仿宋_GB2312" w:cs="Times New Roman"/>
          <w:color w:val="auto"/>
          <w:spacing w:val="6"/>
          <w:sz w:val="28"/>
          <w:szCs w:val="28"/>
          <w:lang w:val="en-US" w:eastAsia="zh-CN"/>
        </w:rPr>
        <w:t>三年</w:t>
      </w:r>
      <w:r>
        <w:rPr>
          <w:rFonts w:hint="eastAsia" w:ascii="仿宋_GB2312" w:hAnsi="Times New Roman" w:eastAsia="仿宋_GB2312" w:cs="Times New Roman"/>
          <w:color w:val="auto"/>
          <w:spacing w:val="6"/>
          <w:sz w:val="28"/>
          <w:szCs w:val="28"/>
        </w:rPr>
        <w:t>。</w:t>
      </w:r>
    </w:p>
    <w:p w14:paraId="61A1EF8A">
      <w:pPr>
        <w:adjustRightInd w:val="0"/>
        <w:spacing w:line="560" w:lineRule="exact"/>
        <w:ind w:firstLine="584" w:firstLineChars="200"/>
        <w:textAlignment w:val="baseline"/>
        <w:rPr>
          <w:rFonts w:hint="eastAsia" w:ascii="仿宋_GB2312" w:hAnsi="Times New Roman" w:eastAsia="仿宋_GB2312" w:cs="Times New Roman"/>
          <w:color w:val="auto"/>
          <w:spacing w:val="6"/>
          <w:sz w:val="28"/>
          <w:szCs w:val="28"/>
        </w:rPr>
      </w:pPr>
      <w:r>
        <w:rPr>
          <w:rFonts w:hint="eastAsia" w:ascii="仿宋_GB2312" w:hAnsi="Times New Roman" w:eastAsia="仿宋_GB2312" w:cs="Times New Roman"/>
          <w:color w:val="auto"/>
          <w:spacing w:val="6"/>
          <w:sz w:val="28"/>
          <w:szCs w:val="28"/>
        </w:rPr>
        <w:t>3.服务地点：采购人指定地点。</w:t>
      </w:r>
    </w:p>
    <w:p w14:paraId="0F9DBC89">
      <w:pPr>
        <w:pStyle w:val="2"/>
        <w:rPr>
          <w:rFonts w:hint="eastAsia" w:asciiTheme="minorEastAsia" w:hAnsiTheme="minorEastAsia" w:cstheme="minorEastAsia"/>
          <w:b/>
          <w:bCs/>
          <w:color w:val="auto"/>
          <w:sz w:val="32"/>
          <w:szCs w:val="32"/>
        </w:rPr>
      </w:pPr>
    </w:p>
    <w:p w14:paraId="0146017B">
      <w:pPr>
        <w:pStyle w:val="2"/>
        <w:rPr>
          <w:rFonts w:hint="eastAsia" w:asciiTheme="minorEastAsia" w:hAnsiTheme="minorEastAsia" w:cstheme="minorEastAsia"/>
          <w:b/>
          <w:bCs/>
          <w:color w:val="auto"/>
          <w:sz w:val="32"/>
          <w:szCs w:val="32"/>
        </w:rPr>
      </w:pPr>
    </w:p>
    <w:p w14:paraId="6AD5DB62">
      <w:pPr>
        <w:spacing w:line="560" w:lineRule="exact"/>
        <w:jc w:val="center"/>
        <w:rPr>
          <w:rFonts w:hint="eastAsia" w:asciiTheme="minorEastAsia" w:hAnsiTheme="minorEastAsia" w:cstheme="minorEastAsia"/>
          <w:b/>
          <w:bCs/>
          <w:color w:val="auto"/>
          <w:sz w:val="32"/>
          <w:szCs w:val="32"/>
        </w:rPr>
      </w:pPr>
    </w:p>
    <w:p w14:paraId="567786CD">
      <w:pPr>
        <w:spacing w:line="560" w:lineRule="exact"/>
        <w:jc w:val="center"/>
        <w:rPr>
          <w:rFonts w:asciiTheme="minorEastAsia" w:hAnsiTheme="minorEastAsia" w:cstheme="minorEastAsia"/>
          <w:color w:val="auto"/>
          <w:sz w:val="32"/>
          <w:szCs w:val="32"/>
        </w:rPr>
      </w:pPr>
      <w:r>
        <w:rPr>
          <w:rFonts w:hint="eastAsia" w:asciiTheme="minorEastAsia" w:hAnsiTheme="minorEastAsia" w:cstheme="minorEastAsia"/>
          <w:b/>
          <w:bCs/>
          <w:color w:val="auto"/>
          <w:sz w:val="32"/>
          <w:szCs w:val="32"/>
        </w:rPr>
        <w:t>第四部分  附件—响应性文件格式</w:t>
      </w:r>
    </w:p>
    <w:p w14:paraId="23A04095">
      <w:pPr>
        <w:spacing w:line="560" w:lineRule="exact"/>
        <w:rPr>
          <w:rFonts w:ascii="仿宋_GB2312" w:hAnsi="仿宋_GB2312" w:eastAsia="仿宋_GB2312" w:cs="仿宋_GB2312"/>
          <w:color w:val="auto"/>
          <w:sz w:val="28"/>
          <w:szCs w:val="28"/>
        </w:rPr>
      </w:pPr>
    </w:p>
    <w:p w14:paraId="75BE0AFC">
      <w:pPr>
        <w:spacing w:line="5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附件1</w:t>
      </w:r>
    </w:p>
    <w:p w14:paraId="0978882F">
      <w:pPr>
        <w:spacing w:line="560" w:lineRule="exact"/>
        <w:ind w:firstLine="562" w:firstLineChars="20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供应商资格信用承诺函</w:t>
      </w:r>
    </w:p>
    <w:p w14:paraId="3F0115D7">
      <w:pPr>
        <w:adjustRightInd w:val="0"/>
        <w:spacing w:line="560" w:lineRule="exac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致（采购人） ：</w:t>
      </w:r>
    </w:p>
    <w:p w14:paraId="13F34644">
      <w:pPr>
        <w:adjustRightInd w:val="0"/>
        <w:spacing w:line="560" w:lineRule="exact"/>
        <w:ind w:firstLine="560" w:firstLineChars="200"/>
        <w:textAlignment w:val="baseline"/>
        <w:rPr>
          <w:rFonts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 xml:space="preserve">供应商名称：                            </w:t>
      </w:r>
    </w:p>
    <w:p w14:paraId="5254AAA1">
      <w:pPr>
        <w:adjustRightInd w:val="0"/>
        <w:spacing w:line="560" w:lineRule="exact"/>
        <w:ind w:firstLine="560" w:firstLineChars="200"/>
        <w:textAlignment w:val="baseline"/>
        <w:rPr>
          <w:rFonts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 xml:space="preserve">统一社会信用代码：                      </w:t>
      </w:r>
    </w:p>
    <w:p w14:paraId="27510A1B">
      <w:pPr>
        <w:adjustRightInd w:val="0"/>
        <w:spacing w:line="560" w:lineRule="exact"/>
        <w:ind w:firstLine="560" w:firstLineChars="200"/>
        <w:textAlignment w:val="baseline"/>
        <w:rPr>
          <w:rFonts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 xml:space="preserve">供应商地址：                           </w:t>
      </w:r>
    </w:p>
    <w:p w14:paraId="4049ABA4">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我单位自愿参加本次采购活动，严格遵守《中华人民共和国政府采购法》及相关法律法规，依法诚信经营，无条件遵守本次采购活动的各项规定。我单位郑重承诺，本单位符合《中华人民共和国政府采购法》第二十二条规定的条件：</w:t>
      </w:r>
    </w:p>
    <w:p w14:paraId="5515CDF7">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1.我单位具有符合采购文件资格要求独立承担民事责任的能力。</w:t>
      </w:r>
    </w:p>
    <w:p w14:paraId="057B8729">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2.我单位具有符合采购文件资格要求的财务状况报告。</w:t>
      </w:r>
    </w:p>
    <w:p w14:paraId="1B51F01B">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3.我单位具有符合采购文件资格要求的依法缴纳税收和社会保障记录的良好记录。</w:t>
      </w:r>
    </w:p>
    <w:p w14:paraId="0E9C1B3F">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4.我单位具有符合采购文件资格要求履行合同所必需的设备和专业技术能力。</w:t>
      </w:r>
    </w:p>
    <w:p w14:paraId="49BEF55B">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5.参加政府采购活动前三年内，在经营活动中没有重大违法记录。</w:t>
      </w:r>
    </w:p>
    <w:p w14:paraId="6920AE5C">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若我单位承诺不实，自愿承担提供虚假材料谋取中标、成交的法律责任。</w:t>
      </w:r>
    </w:p>
    <w:p w14:paraId="2DF4A052">
      <w:pPr>
        <w:adjustRightInd w:val="0"/>
        <w:spacing w:line="560" w:lineRule="exact"/>
        <w:ind w:firstLine="3360" w:firstLineChars="1200"/>
        <w:textAlignment w:val="baseline"/>
        <w:rPr>
          <w:rFonts w:ascii="仿宋_GB2312" w:hAnsi="宋体" w:eastAsia="仿宋_GB2312" w:cs="Lucida Sans Unicode"/>
          <w:color w:val="auto"/>
          <w:sz w:val="28"/>
          <w:szCs w:val="28"/>
          <w:highlight w:val="none"/>
          <w:u w:val="single"/>
        </w:rPr>
      </w:pPr>
      <w:r>
        <w:rPr>
          <w:rFonts w:hint="eastAsia" w:ascii="仿宋_GB2312" w:hAnsi="宋体" w:eastAsia="仿宋_GB2312" w:cs="Lucida Sans Unicode"/>
          <w:color w:val="auto"/>
          <w:sz w:val="28"/>
          <w:szCs w:val="28"/>
          <w:highlight w:val="none"/>
        </w:rPr>
        <w:t xml:space="preserve">承诺供应商（全称并加盖公章）： </w:t>
      </w:r>
      <w:r>
        <w:rPr>
          <w:rFonts w:hint="eastAsia" w:ascii="仿宋_GB2312" w:hAnsi="宋体" w:eastAsia="仿宋_GB2312" w:cs="Lucida Sans Unicode"/>
          <w:color w:val="auto"/>
          <w:sz w:val="28"/>
          <w:szCs w:val="28"/>
          <w:highlight w:val="none"/>
          <w:u w:val="single"/>
        </w:rPr>
        <w:t xml:space="preserve">          </w:t>
      </w:r>
    </w:p>
    <w:p w14:paraId="3E8A0757">
      <w:pPr>
        <w:adjustRightInd w:val="0"/>
        <w:spacing w:line="560" w:lineRule="exact"/>
        <w:ind w:firstLine="3360" w:firstLineChars="1200"/>
        <w:textAlignment w:val="baseline"/>
        <w:rPr>
          <w:rFonts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法定代表人或授权代表(签字或签章)：</w:t>
      </w:r>
      <w:r>
        <w:rPr>
          <w:rFonts w:hint="eastAsia" w:ascii="仿宋_GB2312" w:hAnsi="宋体" w:eastAsia="仿宋_GB2312" w:cs="Lucida Sans Unicode"/>
          <w:color w:val="auto"/>
          <w:sz w:val="28"/>
          <w:szCs w:val="28"/>
          <w:highlight w:val="none"/>
          <w:u w:val="single"/>
        </w:rPr>
        <w:t xml:space="preserve">       </w:t>
      </w:r>
    </w:p>
    <w:p w14:paraId="243A83D9">
      <w:pPr>
        <w:adjustRightInd w:val="0"/>
        <w:spacing w:line="560" w:lineRule="exact"/>
        <w:ind w:firstLine="4760" w:firstLineChars="1700"/>
        <w:textAlignment w:val="baseline"/>
        <w:rPr>
          <w:rFonts w:hint="eastAsia" w:ascii="仿宋_GB2312" w:hAnsi="宋体" w:eastAsia="仿宋_GB2312" w:cs="Lucida Sans Unicode"/>
          <w:color w:val="auto"/>
          <w:sz w:val="28"/>
          <w:szCs w:val="28"/>
          <w:highlight w:val="none"/>
        </w:rPr>
      </w:pPr>
    </w:p>
    <w:p w14:paraId="3DD1954D">
      <w:pPr>
        <w:adjustRightInd w:val="0"/>
        <w:spacing w:line="560" w:lineRule="exact"/>
        <w:ind w:firstLine="4760" w:firstLineChars="17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日期：  年    月    日</w:t>
      </w:r>
    </w:p>
    <w:p w14:paraId="0174E783">
      <w:pPr>
        <w:adjustRightInd w:val="0"/>
        <w:spacing w:line="560" w:lineRule="exact"/>
        <w:ind w:firstLine="560" w:firstLineChars="200"/>
        <w:textAlignment w:val="baseline"/>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注：1.供应商须在响应性文件中按此模板提供承诺函，未提供视为未实质性响应采购文件要求，按无效投标处理。</w:t>
      </w:r>
    </w:p>
    <w:p w14:paraId="29ECCEC6">
      <w:pPr>
        <w:spacing w:line="360" w:lineRule="auto"/>
        <w:jc w:val="center"/>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t>2.供应商的法定代表人（其他组织的为负责人）或者授权代表的签字或盖章应真实、有效，如由授权代表签字或盖章的，应提供“法定代表人授权书”。</w:t>
      </w:r>
    </w:p>
    <w:p w14:paraId="43A79C25">
      <w:pPr>
        <w:rPr>
          <w:rFonts w:hint="eastAsia" w:ascii="仿宋_GB2312" w:hAnsi="宋体" w:eastAsia="仿宋_GB2312" w:cs="Lucida Sans Unicode"/>
          <w:color w:val="auto"/>
          <w:sz w:val="28"/>
          <w:szCs w:val="28"/>
          <w:highlight w:val="none"/>
        </w:rPr>
      </w:pPr>
      <w:r>
        <w:rPr>
          <w:rFonts w:hint="eastAsia" w:ascii="仿宋_GB2312" w:hAnsi="宋体" w:eastAsia="仿宋_GB2312" w:cs="Lucida Sans Unicode"/>
          <w:color w:val="auto"/>
          <w:sz w:val="28"/>
          <w:szCs w:val="28"/>
          <w:highlight w:val="none"/>
        </w:rPr>
        <w:br w:type="page"/>
      </w:r>
    </w:p>
    <w:p w14:paraId="302EA97B">
      <w:pPr>
        <w:spacing w:line="5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2-1</w:t>
      </w:r>
    </w:p>
    <w:p w14:paraId="74217275">
      <w:pPr>
        <w:spacing w:line="360" w:lineRule="auto"/>
        <w:jc w:val="center"/>
        <w:rPr>
          <w:rFonts w:hint="eastAsia" w:ascii="黑体" w:eastAsia="黑体"/>
          <w:color w:val="auto"/>
          <w:sz w:val="28"/>
          <w:szCs w:val="28"/>
        </w:rPr>
      </w:pPr>
    </w:p>
    <w:p w14:paraId="7721A0F6">
      <w:pPr>
        <w:spacing w:line="360" w:lineRule="auto"/>
        <w:jc w:val="center"/>
        <w:rPr>
          <w:rFonts w:hint="eastAsia" w:ascii="黑体" w:eastAsia="黑体"/>
          <w:color w:val="auto"/>
          <w:sz w:val="28"/>
          <w:szCs w:val="28"/>
        </w:rPr>
      </w:pPr>
      <w:r>
        <w:rPr>
          <w:rFonts w:hint="eastAsia" w:ascii="黑体" w:eastAsia="黑体"/>
          <w:color w:val="auto"/>
          <w:sz w:val="28"/>
          <w:szCs w:val="28"/>
        </w:rPr>
        <w:t>法定代表人身份证明书</w:t>
      </w:r>
    </w:p>
    <w:p w14:paraId="20CEE401">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（法定代表人参加</w:t>
      </w:r>
      <w:r>
        <w:rPr>
          <w:rFonts w:hint="eastAsia" w:ascii="仿宋_GB2312" w:eastAsia="仿宋_GB2312"/>
          <w:color w:val="auto"/>
          <w:sz w:val="28"/>
          <w:szCs w:val="28"/>
          <w:lang w:val="en-US" w:eastAsia="zh-CN"/>
        </w:rPr>
        <w:t>协商</w:t>
      </w:r>
      <w:r>
        <w:rPr>
          <w:rFonts w:hint="eastAsia" w:ascii="仿宋_GB2312" w:eastAsia="仿宋_GB2312"/>
          <w:color w:val="auto"/>
          <w:sz w:val="28"/>
          <w:szCs w:val="28"/>
        </w:rPr>
        <w:t>的，出具此证明书）</w:t>
      </w:r>
    </w:p>
    <w:p w14:paraId="2C035DC3">
      <w:pPr>
        <w:spacing w:line="360" w:lineRule="auto"/>
        <w:ind w:firstLine="560" w:firstLineChars="200"/>
        <w:rPr>
          <w:rFonts w:ascii="仿宋_GB2312" w:eastAsia="仿宋_GB2312"/>
          <w:color w:val="auto"/>
          <w:sz w:val="28"/>
          <w:szCs w:val="28"/>
        </w:rPr>
      </w:pPr>
    </w:p>
    <w:p w14:paraId="59062336">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同志，系我单位法定代表人，任</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1C21744F">
      <w:pPr>
        <w:spacing w:line="360" w:lineRule="auto"/>
        <w:rPr>
          <w:rFonts w:hint="eastAsia" w:ascii="仿宋_GB2312" w:eastAsia="仿宋_GB2312"/>
          <w:color w:val="auto"/>
          <w:sz w:val="28"/>
          <w:szCs w:val="28"/>
        </w:rPr>
      </w:pPr>
      <w:r>
        <w:rPr>
          <w:rFonts w:hint="eastAsia" w:ascii="仿宋_GB2312" w:eastAsia="仿宋_GB2312"/>
          <w:color w:val="auto"/>
          <w:sz w:val="28"/>
          <w:szCs w:val="28"/>
        </w:rPr>
        <w:t>职务。</w:t>
      </w:r>
    </w:p>
    <w:p w14:paraId="2839BF79">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特此证明。</w:t>
      </w:r>
    </w:p>
    <w:p w14:paraId="52809820">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附：联系地址：               </w:t>
      </w:r>
    </w:p>
    <w:p w14:paraId="165FA702">
      <w:pPr>
        <w:spacing w:line="360" w:lineRule="auto"/>
        <w:ind w:firstLine="1120" w:firstLineChars="400"/>
        <w:rPr>
          <w:rFonts w:hint="eastAsia" w:ascii="仿宋_GB2312" w:eastAsia="仿宋_GB2312"/>
          <w:color w:val="auto"/>
          <w:sz w:val="28"/>
          <w:szCs w:val="28"/>
        </w:rPr>
      </w:pPr>
      <w:r>
        <w:rPr>
          <w:rFonts w:hint="eastAsia" w:ascii="仿宋_GB2312" w:eastAsia="仿宋_GB2312"/>
          <w:color w:val="auto"/>
          <w:sz w:val="28"/>
          <w:szCs w:val="28"/>
        </w:rPr>
        <w:t>联系电话：</w:t>
      </w:r>
    </w:p>
    <w:tbl>
      <w:tblPr>
        <w:tblStyle w:val="18"/>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BB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71C8D167">
            <w:pPr>
              <w:spacing w:line="480" w:lineRule="exact"/>
              <w:jc w:val="both"/>
              <w:rPr>
                <w:rFonts w:hint="eastAsia" w:ascii="楷体_GB2312" w:hAnsi="楷体_GB2312" w:eastAsia="楷体_GB2312" w:cs="Lucida Sans Unicode"/>
                <w:b/>
                <w:bCs/>
                <w:color w:val="auto"/>
              </w:rPr>
            </w:pPr>
          </w:p>
          <w:p w14:paraId="2C5FE135">
            <w:pPr>
              <w:spacing w:line="480" w:lineRule="exact"/>
              <w:jc w:val="both"/>
              <w:rPr>
                <w:rFonts w:hint="eastAsia" w:ascii="楷体_GB2312" w:hAnsi="楷体_GB2312" w:eastAsia="楷体_GB2312" w:cs="Lucida Sans Unicode"/>
                <w:b/>
                <w:bCs/>
                <w:color w:val="auto"/>
              </w:rPr>
            </w:pPr>
          </w:p>
          <w:p w14:paraId="3ECB3724">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（※此处附法定代表人身份证复印件※）</w:t>
            </w:r>
          </w:p>
          <w:p w14:paraId="413FFBBC">
            <w:pPr>
              <w:spacing w:line="480" w:lineRule="exact"/>
              <w:rPr>
                <w:rFonts w:hint="eastAsia" w:ascii="仿宋_GB2312" w:hAnsi="Lucida Sans Unicode" w:eastAsia="仿宋_GB2312" w:cs="Lucida Sans Unicode"/>
                <w:color w:val="auto"/>
              </w:rPr>
            </w:pPr>
          </w:p>
          <w:p w14:paraId="0AA86FD6">
            <w:pPr>
              <w:spacing w:line="480" w:lineRule="exact"/>
              <w:rPr>
                <w:rFonts w:hint="eastAsia" w:ascii="仿宋_GB2312" w:hAnsi="Lucida Sans Unicode" w:eastAsia="仿宋_GB2312" w:cs="Lucida Sans Unicode"/>
                <w:color w:val="auto"/>
              </w:rPr>
            </w:pPr>
          </w:p>
        </w:tc>
      </w:tr>
    </w:tbl>
    <w:p w14:paraId="2FCE13AF">
      <w:pPr>
        <w:spacing w:line="360" w:lineRule="auto"/>
        <w:ind w:firstLine="1124" w:firstLineChars="400"/>
        <w:rPr>
          <w:rFonts w:ascii="仿宋_GB2312" w:eastAsia="仿宋_GB2312"/>
          <w:b/>
          <w:color w:val="auto"/>
          <w:sz w:val="28"/>
          <w:szCs w:val="28"/>
        </w:rPr>
      </w:pPr>
      <w:r>
        <w:rPr>
          <w:rFonts w:hint="eastAsia" w:ascii="仿宋_GB2312" w:eastAsia="仿宋_GB2312"/>
          <w:b/>
          <w:color w:val="auto"/>
          <w:sz w:val="28"/>
          <w:szCs w:val="28"/>
        </w:rPr>
        <w:t xml:space="preserve"> </w:t>
      </w:r>
    </w:p>
    <w:p w14:paraId="74564EEC">
      <w:pPr>
        <w:spacing w:line="360" w:lineRule="auto"/>
        <w:ind w:firstLine="1124" w:firstLineChars="400"/>
        <w:rPr>
          <w:rFonts w:hint="eastAsia" w:ascii="仿宋_GB2312" w:eastAsia="仿宋_GB2312"/>
          <w:b/>
          <w:color w:val="auto"/>
          <w:sz w:val="28"/>
          <w:szCs w:val="28"/>
        </w:rPr>
      </w:pPr>
      <w:r>
        <w:rPr>
          <w:rFonts w:hint="eastAsia" w:ascii="仿宋_GB2312" w:eastAsia="仿宋_GB2312"/>
          <w:b/>
          <w:color w:val="auto"/>
          <w:sz w:val="28"/>
          <w:szCs w:val="28"/>
        </w:rPr>
        <w:t xml:space="preserve">        </w:t>
      </w:r>
    </w:p>
    <w:p w14:paraId="6E667AC6">
      <w:pPr>
        <w:spacing w:line="360" w:lineRule="auto"/>
        <w:ind w:firstLine="4480" w:firstLineChars="1600"/>
        <w:rPr>
          <w:rFonts w:hint="eastAsia" w:ascii="仿宋_GB2312" w:eastAsia="仿宋_GB2312"/>
          <w:color w:val="auto"/>
          <w:sz w:val="28"/>
          <w:szCs w:val="28"/>
        </w:rPr>
      </w:pPr>
    </w:p>
    <w:p w14:paraId="680187D0">
      <w:pPr>
        <w:spacing w:line="360" w:lineRule="auto"/>
        <w:ind w:firstLine="4480" w:firstLineChars="1600"/>
        <w:rPr>
          <w:rFonts w:hint="eastAsia" w:ascii="仿宋_GB2312" w:eastAsia="仿宋_GB2312"/>
          <w:color w:val="auto"/>
          <w:sz w:val="28"/>
          <w:szCs w:val="28"/>
        </w:rPr>
      </w:pPr>
    </w:p>
    <w:p w14:paraId="6FA57E04">
      <w:pPr>
        <w:spacing w:line="360" w:lineRule="auto"/>
        <w:ind w:firstLine="4480" w:firstLineChars="1600"/>
        <w:rPr>
          <w:rFonts w:hint="eastAsia" w:ascii="仿宋_GB2312" w:eastAsia="仿宋_GB2312"/>
          <w:color w:val="auto"/>
          <w:sz w:val="28"/>
          <w:szCs w:val="28"/>
        </w:rPr>
      </w:pPr>
    </w:p>
    <w:p w14:paraId="63C6FBDD">
      <w:pPr>
        <w:spacing w:line="360" w:lineRule="auto"/>
        <w:ind w:firstLine="4480" w:firstLineChars="1600"/>
        <w:rPr>
          <w:rFonts w:hint="eastAsia" w:ascii="仿宋_GB2312" w:eastAsia="仿宋_GB2312"/>
          <w:color w:val="auto"/>
          <w:sz w:val="28"/>
          <w:szCs w:val="28"/>
        </w:rPr>
      </w:pPr>
    </w:p>
    <w:p w14:paraId="10A3B0A7">
      <w:pPr>
        <w:spacing w:line="360" w:lineRule="auto"/>
        <w:ind w:firstLine="4480" w:firstLineChars="1600"/>
        <w:rPr>
          <w:rFonts w:hint="eastAsia" w:ascii="仿宋_GB2312" w:eastAsia="仿宋_GB2312"/>
          <w:color w:val="auto"/>
          <w:sz w:val="28"/>
          <w:szCs w:val="28"/>
        </w:rPr>
      </w:pPr>
    </w:p>
    <w:p w14:paraId="305B5E82">
      <w:pPr>
        <w:spacing w:line="360" w:lineRule="auto"/>
        <w:ind w:firstLine="4480" w:firstLineChars="1600"/>
        <w:rPr>
          <w:rFonts w:ascii="仿宋_GB2312" w:eastAsia="仿宋_GB2312"/>
          <w:color w:val="auto"/>
          <w:sz w:val="28"/>
          <w:szCs w:val="28"/>
        </w:rPr>
      </w:pPr>
      <w:r>
        <w:rPr>
          <w:rFonts w:hint="eastAsia" w:ascii="仿宋_GB2312" w:eastAsia="仿宋_GB2312"/>
          <w:color w:val="auto"/>
          <w:sz w:val="28"/>
          <w:szCs w:val="28"/>
          <w:lang w:val="en-US" w:eastAsia="zh-CN"/>
        </w:rPr>
        <w:t>供应商</w:t>
      </w:r>
      <w:r>
        <w:rPr>
          <w:rFonts w:hint="eastAsia" w:ascii="仿宋_GB2312" w:eastAsia="仿宋_GB2312"/>
          <w:color w:val="auto"/>
          <w:sz w:val="28"/>
          <w:szCs w:val="28"/>
        </w:rPr>
        <w:t xml:space="preserve">名称（单位公章）： </w:t>
      </w:r>
    </w:p>
    <w:p w14:paraId="3CC49DC4">
      <w:pPr>
        <w:spacing w:line="360" w:lineRule="auto"/>
        <w:ind w:firstLine="6020" w:firstLineChars="2150"/>
        <w:rPr>
          <w:rFonts w:hint="eastAsia" w:ascii="仿宋_GB2312" w:eastAsia="仿宋_GB2312"/>
          <w:color w:val="auto"/>
          <w:sz w:val="28"/>
          <w:szCs w:val="28"/>
        </w:rPr>
      </w:pPr>
      <w:r>
        <w:rPr>
          <w:rFonts w:hint="eastAsia" w:ascii="仿宋_GB2312" w:eastAsia="仿宋_GB2312"/>
          <w:color w:val="auto"/>
          <w:sz w:val="28"/>
          <w:szCs w:val="28"/>
        </w:rPr>
        <w:t>年   月  日</w:t>
      </w:r>
    </w:p>
    <w:p w14:paraId="7E1FE80B">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76B54422">
      <w:pPr>
        <w:spacing w:line="5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2-2</w:t>
      </w:r>
    </w:p>
    <w:p w14:paraId="2AACD962">
      <w:pPr>
        <w:spacing w:line="360" w:lineRule="auto"/>
        <w:ind w:firstLine="560" w:firstLineChars="200"/>
        <w:jc w:val="center"/>
        <w:rPr>
          <w:rFonts w:hint="eastAsia" w:ascii="黑体" w:eastAsia="黑体"/>
          <w:color w:val="auto"/>
          <w:sz w:val="28"/>
          <w:szCs w:val="28"/>
        </w:rPr>
      </w:pPr>
      <w:r>
        <w:rPr>
          <w:rFonts w:hint="eastAsia" w:ascii="黑体" w:eastAsia="黑体"/>
          <w:color w:val="auto"/>
          <w:sz w:val="28"/>
          <w:szCs w:val="28"/>
        </w:rPr>
        <w:t>授权委托书</w:t>
      </w:r>
    </w:p>
    <w:p w14:paraId="40454A30">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（委托代理人参加</w:t>
      </w:r>
      <w:r>
        <w:rPr>
          <w:rFonts w:hint="eastAsia" w:ascii="仿宋_GB2312" w:eastAsia="仿宋_GB2312"/>
          <w:color w:val="auto"/>
          <w:sz w:val="28"/>
          <w:szCs w:val="28"/>
          <w:lang w:val="en-US" w:eastAsia="zh-CN"/>
        </w:rPr>
        <w:t>协商</w:t>
      </w:r>
      <w:r>
        <w:rPr>
          <w:rFonts w:hint="eastAsia" w:ascii="仿宋_GB2312" w:eastAsia="仿宋_GB2312"/>
          <w:color w:val="auto"/>
          <w:sz w:val="28"/>
          <w:szCs w:val="28"/>
        </w:rPr>
        <w:t>的，出具此授权委托书）</w:t>
      </w:r>
    </w:p>
    <w:p w14:paraId="195B3260">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00129D42">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委托人授权</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（被委托人的姓名、职务）为委托人的委托代理人，就项目编号为</w:t>
      </w:r>
      <w:r>
        <w:rPr>
          <w:rFonts w:hint="eastAsia" w:ascii="仿宋_GB2312" w:eastAsia="仿宋_GB2312"/>
          <w:color w:val="auto"/>
          <w:sz w:val="28"/>
          <w:szCs w:val="28"/>
          <w:u w:val="single"/>
          <w:lang w:val="en-US" w:eastAsia="zh-CN"/>
        </w:rPr>
        <w:t xml:space="preserve">            </w:t>
      </w:r>
      <w:r>
        <w:rPr>
          <w:rFonts w:hint="eastAsia" w:ascii="仿宋_GB2312" w:eastAsia="仿宋_GB2312"/>
          <w:color w:val="auto"/>
          <w:sz w:val="28"/>
          <w:szCs w:val="28"/>
        </w:rPr>
        <w:t xml:space="preserve">号的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项目及合同的执行，以本单位名义处理一切与之有关的事务。</w:t>
      </w:r>
    </w:p>
    <w:p w14:paraId="401406BF">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本授权书于</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年</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月</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日签字生效，特此声明。</w:t>
      </w:r>
    </w:p>
    <w:p w14:paraId="0A458ACC">
      <w:pPr>
        <w:spacing w:line="360" w:lineRule="auto"/>
        <w:ind w:firstLine="560" w:firstLineChars="200"/>
        <w:rPr>
          <w:rFonts w:ascii="仿宋_GB2312" w:eastAsia="仿宋_GB2312"/>
          <w:color w:val="auto"/>
          <w:sz w:val="28"/>
          <w:szCs w:val="28"/>
        </w:rPr>
      </w:pPr>
    </w:p>
    <w:p w14:paraId="177D2504">
      <w:pPr>
        <w:spacing w:line="360" w:lineRule="auto"/>
        <w:rPr>
          <w:rFonts w:ascii="仿宋_GB2312" w:eastAsia="仿宋_GB2312"/>
          <w:color w:val="auto"/>
          <w:sz w:val="28"/>
          <w:szCs w:val="28"/>
        </w:rPr>
      </w:pPr>
    </w:p>
    <w:p w14:paraId="1C2268AC">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委托人：单位名称（单位公章）           被委托人：（签字）</w:t>
      </w:r>
    </w:p>
    <w:p w14:paraId="044451F3">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法定代表人：（签字）</w:t>
      </w:r>
    </w:p>
    <w:tbl>
      <w:tblPr>
        <w:tblStyle w:val="18"/>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5E0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5A79009D">
            <w:pPr>
              <w:spacing w:line="480" w:lineRule="exact"/>
              <w:jc w:val="both"/>
              <w:rPr>
                <w:rFonts w:hint="eastAsia" w:ascii="楷体_GB2312" w:hAnsi="楷体_GB2312" w:eastAsia="楷体_GB2312" w:cs="Lucida Sans Unicode"/>
                <w:b/>
                <w:bCs/>
                <w:color w:val="auto"/>
              </w:rPr>
            </w:pPr>
          </w:p>
          <w:p w14:paraId="284A3881">
            <w:pPr>
              <w:spacing w:line="480" w:lineRule="exact"/>
              <w:jc w:val="both"/>
              <w:rPr>
                <w:rFonts w:hint="eastAsia" w:ascii="楷体_GB2312" w:hAnsi="楷体_GB2312" w:eastAsia="楷体_GB2312" w:cs="Lucida Sans Unicode"/>
                <w:b/>
                <w:bCs/>
                <w:color w:val="auto"/>
              </w:rPr>
            </w:pPr>
          </w:p>
          <w:p w14:paraId="68332DD7">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（※此处附被委托人身份证复印件※）</w:t>
            </w:r>
          </w:p>
          <w:p w14:paraId="3C5F6253">
            <w:pPr>
              <w:spacing w:line="480" w:lineRule="exact"/>
              <w:rPr>
                <w:rFonts w:hint="eastAsia" w:ascii="仿宋_GB2312" w:hAnsi="Lucida Sans Unicode" w:eastAsia="仿宋_GB2312" w:cs="Lucida Sans Unicode"/>
                <w:color w:val="auto"/>
              </w:rPr>
            </w:pPr>
          </w:p>
          <w:p w14:paraId="2A5BFDA7">
            <w:pPr>
              <w:spacing w:line="480" w:lineRule="exact"/>
              <w:rPr>
                <w:rFonts w:hint="eastAsia" w:ascii="仿宋_GB2312" w:hAnsi="Lucida Sans Unicode" w:eastAsia="仿宋_GB2312" w:cs="Lucida Sans Unicode"/>
                <w:color w:val="auto"/>
              </w:rPr>
            </w:pPr>
          </w:p>
        </w:tc>
      </w:tr>
    </w:tbl>
    <w:p w14:paraId="23D31F69">
      <w:pPr>
        <w:spacing w:line="360" w:lineRule="auto"/>
        <w:ind w:firstLine="560" w:firstLineChars="200"/>
        <w:rPr>
          <w:rFonts w:ascii="仿宋_GB2312" w:eastAsia="仿宋_GB2312"/>
          <w:color w:val="auto"/>
          <w:sz w:val="28"/>
          <w:szCs w:val="28"/>
        </w:rPr>
      </w:pPr>
    </w:p>
    <w:p w14:paraId="0D2E5E46">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376D38BE">
      <w:pPr>
        <w:spacing w:line="360" w:lineRule="auto"/>
        <w:ind w:firstLine="560" w:firstLineChars="200"/>
        <w:jc w:val="center"/>
        <w:rPr>
          <w:rFonts w:hint="eastAsia" w:ascii="仿宋_GB2312" w:eastAsia="仿宋_GB2312"/>
          <w:color w:val="auto"/>
          <w:sz w:val="28"/>
          <w:szCs w:val="28"/>
        </w:rPr>
      </w:pPr>
    </w:p>
    <w:p w14:paraId="14265797">
      <w:pPr>
        <w:spacing w:line="360" w:lineRule="auto"/>
        <w:ind w:firstLine="560" w:firstLineChars="200"/>
        <w:jc w:val="center"/>
        <w:rPr>
          <w:rFonts w:hint="eastAsia" w:ascii="仿宋_GB2312" w:eastAsia="仿宋_GB2312"/>
          <w:color w:val="auto"/>
          <w:sz w:val="28"/>
          <w:szCs w:val="28"/>
        </w:rPr>
      </w:pPr>
    </w:p>
    <w:p w14:paraId="1786C91C">
      <w:pPr>
        <w:spacing w:line="360" w:lineRule="auto"/>
        <w:rPr>
          <w:rFonts w:hint="eastAsia" w:ascii="仿宋_GB2312" w:eastAsia="仿宋_GB2312"/>
          <w:color w:val="auto"/>
          <w:sz w:val="28"/>
          <w:szCs w:val="28"/>
        </w:rPr>
      </w:pPr>
    </w:p>
    <w:p w14:paraId="67FE4FAA">
      <w:pPr>
        <w:spacing w:line="360" w:lineRule="auto"/>
        <w:rPr>
          <w:rFonts w:hint="eastAsia" w:ascii="仿宋_GB2312" w:eastAsia="仿宋_GB2312"/>
          <w:color w:val="auto"/>
          <w:sz w:val="28"/>
          <w:szCs w:val="28"/>
        </w:rPr>
      </w:pPr>
    </w:p>
    <w:p w14:paraId="69486774">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64D9173C">
      <w:pPr>
        <w:spacing w:line="360" w:lineRule="auto"/>
        <w:rPr>
          <w:rFonts w:hint="eastAsia" w:ascii="仿宋_GB2312" w:eastAsia="仿宋_GB2312"/>
          <w:color w:val="auto"/>
          <w:szCs w:val="24"/>
        </w:rPr>
      </w:pPr>
    </w:p>
    <w:p w14:paraId="348C0470">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 xml:space="preserve">           </w:t>
      </w:r>
    </w:p>
    <w:p w14:paraId="1729A266">
      <w:pPr>
        <w:spacing w:line="360" w:lineRule="auto"/>
        <w:jc w:val="center"/>
        <w:rPr>
          <w:rFonts w:hint="eastAsia" w:ascii="黑体" w:eastAsia="黑体"/>
          <w:color w:val="auto"/>
          <w:sz w:val="28"/>
          <w:szCs w:val="28"/>
        </w:rPr>
      </w:pPr>
      <w:r>
        <w:rPr>
          <w:rFonts w:hint="eastAsia" w:ascii="黑体" w:eastAsia="黑体"/>
          <w:color w:val="auto"/>
          <w:sz w:val="28"/>
          <w:szCs w:val="28"/>
        </w:rPr>
        <w:t>报价一览表</w:t>
      </w:r>
    </w:p>
    <w:p w14:paraId="2CCEE470">
      <w:pPr>
        <w:spacing w:line="360" w:lineRule="auto"/>
        <w:rPr>
          <w:rFonts w:hint="eastAsia" w:ascii="仿宋_GB2312" w:eastAsia="仿宋_GB2312"/>
          <w:color w:val="auto"/>
          <w:sz w:val="28"/>
          <w:szCs w:val="28"/>
        </w:rPr>
      </w:pPr>
    </w:p>
    <w:tbl>
      <w:tblPr>
        <w:tblStyle w:val="18"/>
        <w:tblW w:w="8840"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6141"/>
      </w:tblGrid>
      <w:tr w14:paraId="10E77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2699" w:type="dxa"/>
            <w:noWrap w:val="0"/>
            <w:vAlign w:val="center"/>
          </w:tcPr>
          <w:p w14:paraId="3EF3BA03">
            <w:pPr>
              <w:spacing w:line="360" w:lineRule="auto"/>
              <w:jc w:val="center"/>
              <w:rPr>
                <w:rFonts w:hint="eastAsia" w:ascii="宋体" w:hAnsi="宋体"/>
                <w:color w:val="auto"/>
                <w:szCs w:val="21"/>
              </w:rPr>
            </w:pPr>
            <w:r>
              <w:rPr>
                <w:rFonts w:hint="eastAsia" w:ascii="宋体" w:hAnsi="宋体"/>
                <w:color w:val="auto"/>
                <w:szCs w:val="21"/>
              </w:rPr>
              <w:t>项目名称</w:t>
            </w:r>
          </w:p>
        </w:tc>
        <w:tc>
          <w:tcPr>
            <w:tcW w:w="6141" w:type="dxa"/>
            <w:noWrap w:val="0"/>
            <w:vAlign w:val="center"/>
          </w:tcPr>
          <w:p w14:paraId="6D0CED54">
            <w:pPr>
              <w:spacing w:line="360" w:lineRule="auto"/>
              <w:jc w:val="center"/>
              <w:rPr>
                <w:rFonts w:hint="eastAsia" w:ascii="宋体" w:hAnsi="宋体"/>
                <w:color w:val="auto"/>
                <w:szCs w:val="21"/>
              </w:rPr>
            </w:pPr>
          </w:p>
        </w:tc>
      </w:tr>
      <w:tr w14:paraId="3899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exact"/>
        </w:trPr>
        <w:tc>
          <w:tcPr>
            <w:tcW w:w="2699" w:type="dxa"/>
            <w:noWrap w:val="0"/>
            <w:vAlign w:val="center"/>
          </w:tcPr>
          <w:p w14:paraId="72973EBF">
            <w:pPr>
              <w:spacing w:line="360" w:lineRule="auto"/>
              <w:jc w:val="center"/>
              <w:rPr>
                <w:rFonts w:hint="eastAsia" w:ascii="宋体" w:hAnsi="宋体"/>
                <w:color w:val="auto"/>
                <w:szCs w:val="21"/>
              </w:rPr>
            </w:pPr>
            <w:r>
              <w:rPr>
                <w:rFonts w:hint="eastAsia" w:ascii="宋体" w:hAnsi="宋体"/>
                <w:color w:val="auto"/>
                <w:szCs w:val="21"/>
              </w:rPr>
              <w:t>项目编号</w:t>
            </w:r>
          </w:p>
        </w:tc>
        <w:tc>
          <w:tcPr>
            <w:tcW w:w="6141" w:type="dxa"/>
            <w:noWrap w:val="0"/>
            <w:vAlign w:val="center"/>
          </w:tcPr>
          <w:p w14:paraId="572A7A1E">
            <w:pPr>
              <w:spacing w:line="360" w:lineRule="auto"/>
              <w:jc w:val="center"/>
              <w:rPr>
                <w:rFonts w:hint="eastAsia" w:ascii="宋体" w:hAnsi="宋体"/>
                <w:color w:val="auto"/>
                <w:szCs w:val="21"/>
              </w:rPr>
            </w:pPr>
          </w:p>
        </w:tc>
      </w:tr>
      <w:tr w14:paraId="1ABD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2699" w:type="dxa"/>
            <w:noWrap w:val="0"/>
            <w:vAlign w:val="center"/>
          </w:tcPr>
          <w:p w14:paraId="1118F7BA">
            <w:pPr>
              <w:spacing w:line="360" w:lineRule="auto"/>
              <w:jc w:val="center"/>
              <w:rPr>
                <w:rFonts w:hint="eastAsia" w:ascii="宋体" w:hAnsi="宋体"/>
                <w:color w:val="auto"/>
                <w:szCs w:val="21"/>
              </w:rPr>
            </w:pPr>
            <w:r>
              <w:rPr>
                <w:rFonts w:hint="eastAsia" w:ascii="宋体" w:hAnsi="宋体"/>
                <w:color w:val="auto"/>
                <w:szCs w:val="21"/>
              </w:rPr>
              <w:t>总</w:t>
            </w:r>
            <w:r>
              <w:rPr>
                <w:rFonts w:hint="eastAsia" w:ascii="宋体" w:hAnsi="宋体"/>
                <w:color w:val="auto"/>
                <w:szCs w:val="21"/>
                <w:lang w:val="en-US" w:eastAsia="zh-CN"/>
              </w:rPr>
              <w:t>报</w:t>
            </w:r>
            <w:r>
              <w:rPr>
                <w:rFonts w:hint="eastAsia" w:ascii="宋体" w:hAnsi="宋体"/>
                <w:color w:val="auto"/>
                <w:szCs w:val="21"/>
              </w:rPr>
              <w:t>价（小写）：</w:t>
            </w:r>
          </w:p>
        </w:tc>
        <w:tc>
          <w:tcPr>
            <w:tcW w:w="6141" w:type="dxa"/>
            <w:noWrap w:val="0"/>
            <w:vAlign w:val="center"/>
          </w:tcPr>
          <w:p w14:paraId="78B99B63">
            <w:pPr>
              <w:spacing w:line="360" w:lineRule="auto"/>
              <w:rPr>
                <w:rFonts w:hint="default" w:ascii="宋体" w:hAnsi="宋体" w:eastAsiaTheme="minorEastAsia"/>
                <w:color w:val="auto"/>
                <w:szCs w:val="21"/>
                <w:lang w:val="en-US" w:eastAsia="zh-CN"/>
              </w:rPr>
            </w:pPr>
          </w:p>
        </w:tc>
      </w:tr>
      <w:tr w14:paraId="257F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exact"/>
        </w:trPr>
        <w:tc>
          <w:tcPr>
            <w:tcW w:w="2699" w:type="dxa"/>
            <w:noWrap w:val="0"/>
            <w:vAlign w:val="center"/>
          </w:tcPr>
          <w:p w14:paraId="06829D60">
            <w:pPr>
              <w:spacing w:line="360" w:lineRule="auto"/>
              <w:jc w:val="center"/>
              <w:rPr>
                <w:rFonts w:hint="eastAsia" w:ascii="宋体" w:hAnsi="宋体"/>
                <w:color w:val="auto"/>
                <w:szCs w:val="21"/>
              </w:rPr>
            </w:pPr>
            <w:r>
              <w:rPr>
                <w:rFonts w:hint="eastAsia" w:ascii="宋体" w:hAnsi="宋体"/>
                <w:color w:val="auto"/>
                <w:szCs w:val="21"/>
              </w:rPr>
              <w:t>总</w:t>
            </w:r>
            <w:r>
              <w:rPr>
                <w:rFonts w:hint="eastAsia" w:ascii="宋体" w:hAnsi="宋体"/>
                <w:color w:val="auto"/>
                <w:szCs w:val="21"/>
                <w:lang w:val="en-US" w:eastAsia="zh-CN"/>
              </w:rPr>
              <w:t>报</w:t>
            </w:r>
            <w:r>
              <w:rPr>
                <w:rFonts w:hint="eastAsia" w:ascii="宋体" w:hAnsi="宋体"/>
                <w:color w:val="auto"/>
                <w:szCs w:val="21"/>
              </w:rPr>
              <w:t>价（大写）：</w:t>
            </w:r>
          </w:p>
        </w:tc>
        <w:tc>
          <w:tcPr>
            <w:tcW w:w="6141" w:type="dxa"/>
            <w:noWrap w:val="0"/>
            <w:vAlign w:val="center"/>
          </w:tcPr>
          <w:p w14:paraId="035D07E8">
            <w:pPr>
              <w:spacing w:line="360" w:lineRule="auto"/>
              <w:rPr>
                <w:rFonts w:hint="eastAsia" w:ascii="宋体" w:hAnsi="宋体"/>
                <w:color w:val="auto"/>
                <w:szCs w:val="21"/>
              </w:rPr>
            </w:pPr>
          </w:p>
        </w:tc>
      </w:tr>
    </w:tbl>
    <w:p w14:paraId="4ABF58A0">
      <w:pPr>
        <w:spacing w:line="460" w:lineRule="exact"/>
        <w:ind w:firstLine="360" w:firstLineChars="200"/>
        <w:rPr>
          <w:rFonts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注:1、报价一经涂改，应在涂改处加盖单位公章或供应商代表签字或盖章，否则其投标作无效标处理。</w:t>
      </w:r>
    </w:p>
    <w:p w14:paraId="6D849D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360" w:firstLineChars="200"/>
        <w:textAlignment w:val="auto"/>
        <w:rPr>
          <w:rFonts w:hint="eastAsia" w:ascii="宋体" w:hAnsi="宋体"/>
          <w:color w:val="auto"/>
          <w:szCs w:val="21"/>
        </w:rPr>
      </w:pPr>
      <w:r>
        <w:rPr>
          <w:rFonts w:hint="eastAsia" w:asciiTheme="minorEastAsia" w:hAnsiTheme="minorEastAsia" w:cstheme="minorEastAsia"/>
          <w:color w:val="auto"/>
          <w:sz w:val="18"/>
          <w:szCs w:val="18"/>
          <w:lang w:val="en-US" w:eastAsia="zh-CN"/>
        </w:rPr>
        <w:t>2、</w:t>
      </w:r>
      <w:r>
        <w:rPr>
          <w:rFonts w:hint="eastAsia" w:asciiTheme="minorEastAsia" w:hAnsiTheme="minorEastAsia" w:cstheme="minorEastAsia"/>
          <w:color w:val="auto"/>
          <w:sz w:val="18"/>
          <w:szCs w:val="18"/>
        </w:rPr>
        <w:t>报价包括单一来源采购文件要求的</w:t>
      </w:r>
      <w:r>
        <w:rPr>
          <w:rFonts w:hint="eastAsia" w:asciiTheme="minorEastAsia" w:hAnsiTheme="minorEastAsia" w:cstheme="minorEastAsia"/>
          <w:color w:val="auto"/>
          <w:sz w:val="18"/>
          <w:szCs w:val="18"/>
          <w:lang w:val="zh-CN" w:eastAsia="zh-CN"/>
        </w:rPr>
        <w:t>全部服务及配套货物的价格相关税费等其他有关的所有费用</w:t>
      </w:r>
      <w:r>
        <w:rPr>
          <w:rFonts w:hint="eastAsia" w:asciiTheme="minorEastAsia" w:hAnsiTheme="minorEastAsia" w:cstheme="minorEastAsia"/>
          <w:color w:val="auto"/>
          <w:sz w:val="18"/>
          <w:szCs w:val="18"/>
        </w:rPr>
        <w:t>。</w:t>
      </w:r>
    </w:p>
    <w:p w14:paraId="44221D3B">
      <w:pPr>
        <w:spacing w:line="560" w:lineRule="exact"/>
        <w:ind w:firstLine="360" w:firstLineChars="20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3</w:t>
      </w:r>
      <w:r>
        <w:rPr>
          <w:rFonts w:hint="eastAsia" w:asciiTheme="minorEastAsia" w:hAnsiTheme="minorEastAsia" w:cstheme="minorEastAsia"/>
          <w:color w:val="auto"/>
          <w:sz w:val="18"/>
          <w:szCs w:val="18"/>
          <w:lang w:val="en-US" w:eastAsia="zh-CN"/>
        </w:rPr>
        <w:t>、</w:t>
      </w:r>
      <w:r>
        <w:rPr>
          <w:rFonts w:hint="eastAsia" w:asciiTheme="minorEastAsia" w:hAnsiTheme="minorEastAsia" w:eastAsiaTheme="minorEastAsia" w:cstheme="minorEastAsia"/>
          <w:color w:val="auto"/>
          <w:sz w:val="18"/>
          <w:szCs w:val="18"/>
        </w:rPr>
        <w:t>所有价格均应为人民币报价，金额单位为元。</w:t>
      </w:r>
    </w:p>
    <w:p w14:paraId="6EB1172E">
      <w:pPr>
        <w:pStyle w:val="4"/>
        <w:numPr>
          <w:ilvl w:val="1"/>
          <w:numId w:val="0"/>
        </w:numPr>
        <w:ind w:leftChars="0"/>
        <w:rPr>
          <w:rFonts w:hint="eastAsia" w:asciiTheme="minorEastAsia" w:hAnsiTheme="minorEastAsia" w:eastAsiaTheme="minorEastAsia" w:cstheme="minorEastAsia"/>
          <w:color w:val="auto"/>
          <w:sz w:val="18"/>
          <w:szCs w:val="18"/>
        </w:rPr>
      </w:pPr>
    </w:p>
    <w:p w14:paraId="4A9D7946">
      <w:pPr>
        <w:rPr>
          <w:rFonts w:hint="eastAsia"/>
          <w:color w:val="auto"/>
        </w:rPr>
      </w:pPr>
    </w:p>
    <w:p w14:paraId="2978EFBF">
      <w:pPr>
        <w:ind w:firstLine="140" w:firstLineChars="50"/>
        <w:rPr>
          <w:rFonts w:hint="eastAsia" w:ascii="仿宋_GB2312" w:hAnsi="华文楷体" w:eastAsia="仿宋_GB2312"/>
          <w:color w:val="auto"/>
          <w:sz w:val="28"/>
          <w:szCs w:val="28"/>
        </w:rPr>
      </w:pPr>
      <w:bookmarkStart w:id="0" w:name="OLE_LINK5"/>
      <w:r>
        <w:rPr>
          <w:rFonts w:hint="eastAsia" w:ascii="仿宋_GB2312" w:hAnsi="华文楷体" w:eastAsia="仿宋_GB2312"/>
          <w:color w:val="auto"/>
          <w:sz w:val="28"/>
          <w:szCs w:val="28"/>
        </w:rPr>
        <w:t xml:space="preserve">单位名称：（公章）        </w:t>
      </w:r>
    </w:p>
    <w:p w14:paraId="718BF8A2">
      <w:pPr>
        <w:spacing w:line="360" w:lineRule="auto"/>
        <w:rPr>
          <w:rFonts w:hint="eastAsia" w:ascii="仿宋_GB2312" w:eastAsia="仿宋_GB2312"/>
          <w:color w:val="auto"/>
          <w:sz w:val="28"/>
          <w:szCs w:val="28"/>
        </w:rPr>
      </w:pPr>
      <w:r>
        <w:rPr>
          <w:rFonts w:hint="eastAsia" w:ascii="仿宋_GB2312" w:hAnsi="华文楷体" w:eastAsia="仿宋_GB2312"/>
          <w:color w:val="auto"/>
          <w:sz w:val="28"/>
          <w:szCs w:val="28"/>
        </w:rPr>
        <w:t>法定代表人或委托代理人：（签字或盖章）</w:t>
      </w:r>
      <w:bookmarkEnd w:id="0"/>
      <w:r>
        <w:rPr>
          <w:rFonts w:hint="eastAsia" w:ascii="仿宋_GB2312" w:eastAsia="仿宋_GB2312"/>
          <w:color w:val="auto"/>
          <w:sz w:val="28"/>
          <w:szCs w:val="28"/>
        </w:rPr>
        <w:t xml:space="preserve">    </w:t>
      </w:r>
    </w:p>
    <w:p w14:paraId="3AFBA404">
      <w:pPr>
        <w:spacing w:line="360" w:lineRule="auto"/>
        <w:rPr>
          <w:rFonts w:hint="eastAsia" w:ascii="仿宋_GB2312" w:eastAsia="仿宋_GB2312"/>
          <w:color w:val="auto"/>
          <w:sz w:val="28"/>
          <w:szCs w:val="28"/>
        </w:rPr>
      </w:pPr>
      <w:r>
        <w:rPr>
          <w:rFonts w:hint="eastAsia" w:ascii="仿宋_GB2312" w:eastAsia="仿宋_GB2312"/>
          <w:color w:val="auto"/>
          <w:sz w:val="28"/>
          <w:szCs w:val="28"/>
        </w:rPr>
        <w:t xml:space="preserve">                                                年   月  日 </w:t>
      </w:r>
      <w:r>
        <w:rPr>
          <w:rFonts w:hint="eastAsia" w:ascii="仿宋_GB2312" w:hAnsi="华文楷体" w:eastAsia="仿宋_GB2312"/>
          <w:color w:val="auto"/>
          <w:sz w:val="28"/>
          <w:szCs w:val="28"/>
        </w:rPr>
        <w:t xml:space="preserve">   </w:t>
      </w:r>
      <w:r>
        <w:rPr>
          <w:rFonts w:hint="eastAsia" w:ascii="仿宋_GB2312" w:eastAsia="仿宋_GB2312"/>
          <w:color w:val="auto"/>
          <w:sz w:val="28"/>
          <w:szCs w:val="28"/>
        </w:rPr>
        <w:t xml:space="preserve">  </w:t>
      </w:r>
    </w:p>
    <w:p w14:paraId="6F5AAFE1">
      <w:pPr>
        <w:spacing w:line="360" w:lineRule="auto"/>
        <w:rPr>
          <w:rFonts w:hint="eastAsia" w:ascii="仿宋_GB2312" w:eastAsia="仿宋_GB2312"/>
          <w:color w:val="auto"/>
          <w:sz w:val="28"/>
          <w:szCs w:val="28"/>
        </w:rPr>
      </w:pPr>
    </w:p>
    <w:p w14:paraId="0BDCC42C">
      <w:pPr>
        <w:spacing w:line="360" w:lineRule="auto"/>
        <w:rPr>
          <w:rFonts w:hint="eastAsia" w:ascii="仿宋_GB2312" w:eastAsia="仿宋_GB2312"/>
          <w:color w:val="auto"/>
          <w:sz w:val="28"/>
          <w:szCs w:val="28"/>
        </w:rPr>
      </w:pPr>
    </w:p>
    <w:p w14:paraId="6EDC2B84">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 xml:space="preserve"> </w:t>
      </w:r>
    </w:p>
    <w:p w14:paraId="040A759F">
      <w:pPr>
        <w:spacing w:line="14" w:lineRule="atLeast"/>
        <w:jc w:val="center"/>
        <w:rPr>
          <w:rFonts w:asciiTheme="minorEastAsia" w:hAnsiTheme="minorEastAsia" w:cstheme="minorEastAsia"/>
          <w:color w:val="auto"/>
          <w:kern w:val="1"/>
          <w:sz w:val="32"/>
          <w:szCs w:val="32"/>
        </w:rPr>
      </w:pPr>
      <w:r>
        <w:rPr>
          <w:rFonts w:hint="eastAsia" w:asciiTheme="minorEastAsia" w:hAnsiTheme="minorEastAsia" w:cstheme="minorEastAsia"/>
          <w:b/>
          <w:color w:val="auto"/>
          <w:kern w:val="1"/>
          <w:sz w:val="32"/>
          <w:szCs w:val="32"/>
        </w:rPr>
        <w:t>反商业贿赂承诺书</w:t>
      </w:r>
    </w:p>
    <w:p w14:paraId="1B9A520D">
      <w:pPr>
        <w:spacing w:line="560" w:lineRule="exact"/>
        <w:rPr>
          <w:rFonts w:ascii="仿宋_GB2312" w:hAnsi="仿宋_GB2312" w:eastAsia="仿宋_GB2312" w:cs="仿宋_GB2312"/>
          <w:color w:val="auto"/>
          <w:kern w:val="1"/>
          <w:sz w:val="28"/>
          <w:szCs w:val="32"/>
        </w:rPr>
      </w:pPr>
    </w:p>
    <w:p w14:paraId="368A6413">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在采购活动中，我单位郑重承诺：</w:t>
      </w:r>
    </w:p>
    <w:p w14:paraId="3586C0AD">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42894928">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二、若出现上述行为，我单位及参与投标的工作人员愿意接受按照国家法律法规等有关规定给予的处罚。</w:t>
      </w:r>
    </w:p>
    <w:p w14:paraId="1173208E">
      <w:pPr>
        <w:spacing w:line="560" w:lineRule="exact"/>
        <w:ind w:firstLine="630"/>
        <w:jc w:val="right"/>
        <w:rPr>
          <w:rFonts w:ascii="仿宋_GB2312" w:hAnsi="仿宋_GB2312" w:eastAsia="仿宋_GB2312" w:cs="仿宋_GB2312"/>
          <w:color w:val="auto"/>
          <w:kern w:val="1"/>
          <w:sz w:val="28"/>
          <w:szCs w:val="32"/>
        </w:rPr>
      </w:pPr>
    </w:p>
    <w:p w14:paraId="4EDCEB99">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供应商名称：（单位公章）</w:t>
      </w:r>
    </w:p>
    <w:p w14:paraId="6FCB8EEC">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法定代表人或委托代理人：（签字或盖章）</w:t>
      </w:r>
    </w:p>
    <w:p w14:paraId="2AF3CAE3">
      <w:pPr>
        <w:spacing w:line="560" w:lineRule="exact"/>
        <w:ind w:firstLine="630"/>
        <w:rPr>
          <w:rFonts w:ascii="仿宋_GB2312" w:hAnsi="仿宋_GB2312" w:eastAsia="仿宋_GB2312" w:cs="仿宋_GB2312"/>
          <w:color w:val="auto"/>
          <w:kern w:val="1"/>
          <w:sz w:val="28"/>
          <w:szCs w:val="32"/>
        </w:rPr>
      </w:pPr>
    </w:p>
    <w:p w14:paraId="633DF6BD">
      <w:pPr>
        <w:spacing w:line="560" w:lineRule="exact"/>
        <w:ind w:firstLine="5586"/>
        <w:rPr>
          <w:rFonts w:ascii="仿宋_GB2312" w:hAnsi="仿宋_GB2312" w:eastAsia="仿宋_GB2312" w:cs="仿宋_GB2312"/>
          <w:color w:val="auto"/>
          <w:kern w:val="1"/>
          <w:sz w:val="28"/>
          <w:szCs w:val="32"/>
        </w:rPr>
      </w:pPr>
    </w:p>
    <w:p w14:paraId="4E037C45">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1"/>
          <w:sz w:val="28"/>
          <w:szCs w:val="32"/>
        </w:rPr>
        <w:t xml:space="preserve">                                         年   月   日</w:t>
      </w:r>
    </w:p>
    <w:p w14:paraId="76E9FEC6">
      <w:pPr>
        <w:spacing w:line="560" w:lineRule="exact"/>
        <w:rPr>
          <w:rFonts w:ascii="仿宋_GB2312" w:hAnsi="仿宋_GB2312" w:eastAsia="仿宋_GB2312" w:cs="仿宋_GB2312"/>
          <w:color w:val="auto"/>
          <w:sz w:val="28"/>
          <w:szCs w:val="28"/>
        </w:rPr>
      </w:pPr>
    </w:p>
    <w:p w14:paraId="637833B5">
      <w:pPr>
        <w:spacing w:line="560" w:lineRule="exact"/>
        <w:rPr>
          <w:rFonts w:ascii="仿宋_GB2312" w:hAnsi="仿宋_GB2312" w:eastAsia="仿宋_GB2312" w:cs="仿宋_GB2312"/>
          <w:color w:val="auto"/>
          <w:sz w:val="28"/>
          <w:szCs w:val="28"/>
        </w:rPr>
      </w:pPr>
    </w:p>
    <w:p w14:paraId="1AC6A90B">
      <w:pPr>
        <w:spacing w:line="560" w:lineRule="exact"/>
        <w:rPr>
          <w:rFonts w:ascii="仿宋_GB2312" w:hAnsi="仿宋_GB2312" w:eastAsia="仿宋_GB2312" w:cs="仿宋_GB2312"/>
          <w:color w:val="auto"/>
          <w:sz w:val="28"/>
          <w:szCs w:val="28"/>
        </w:rPr>
      </w:pPr>
    </w:p>
    <w:p w14:paraId="184DF0EF">
      <w:pPr>
        <w:spacing w:line="560" w:lineRule="exact"/>
        <w:rPr>
          <w:rFonts w:ascii="仿宋_GB2312" w:hAnsi="仿宋_GB2312" w:eastAsia="仿宋_GB2312" w:cs="仿宋_GB2312"/>
          <w:color w:val="auto"/>
          <w:sz w:val="28"/>
          <w:szCs w:val="28"/>
        </w:rPr>
      </w:pPr>
    </w:p>
    <w:p w14:paraId="0FA493CA">
      <w:pPr>
        <w:spacing w:line="560" w:lineRule="exact"/>
        <w:rPr>
          <w:rFonts w:ascii="仿宋_GB2312" w:hAnsi="仿宋_GB2312" w:eastAsia="仿宋_GB2312" w:cs="仿宋_GB2312"/>
          <w:color w:val="auto"/>
          <w:sz w:val="28"/>
          <w:szCs w:val="28"/>
        </w:rPr>
      </w:pPr>
    </w:p>
    <w:p w14:paraId="6D934FFD">
      <w:pPr>
        <w:spacing w:line="560" w:lineRule="exact"/>
        <w:jc w:val="both"/>
        <w:rPr>
          <w:rFonts w:ascii="仿宋_GB2312" w:hAnsi="仿宋_GB2312" w:eastAsia="仿宋_GB2312" w:cs="仿宋_GB2312"/>
          <w:color w:val="auto"/>
          <w:kern w:val="1"/>
          <w:sz w:val="28"/>
          <w:szCs w:val="32"/>
        </w:rPr>
      </w:pPr>
    </w:p>
    <w:p w14:paraId="4461281D">
      <w:pPr>
        <w:tabs>
          <w:tab w:val="left" w:pos="1412"/>
        </w:tabs>
        <w:bidi w:val="0"/>
        <w:jc w:val="left"/>
        <w:rPr>
          <w:color w:val="auto"/>
          <w:lang w:val="en-US" w:eastAsia="zh-CN"/>
        </w:rPr>
      </w:pPr>
    </w:p>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ill Sans">
    <w:altName w:val="Times New Roman"/>
    <w:panose1 w:val="00000000000000000000"/>
    <w:charset w:val="00"/>
    <w:family w:val="roman"/>
    <w:pitch w:val="default"/>
    <w:sig w:usb0="00000000" w:usb1="00000000" w:usb2="00000000" w:usb3="00000000" w:csb0="00000000" w:csb1="00000000"/>
  </w:font>
  <w:font w:name="ヒラギノ角ゴ Pro W3">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STKaiti">
    <w:altName w:val="宋体"/>
    <w:panose1 w:val="00000000000000000000"/>
    <w:charset w:val="86"/>
    <w:family w:val="auto"/>
    <w:pitch w:val="default"/>
    <w:sig w:usb0="00000000" w:usb1="00000000" w:usb2="00000010" w:usb3="00000000" w:csb0="0004009F" w:csb1="00000000"/>
  </w:font>
  <w:font w:name="华文楷体">
    <w:altName w:val="宋体"/>
    <w:panose1 w:val="00000000000000000000"/>
    <w:charset w:val="86"/>
    <w:family w:val="auto"/>
    <w:pitch w:val="default"/>
    <w:sig w:usb0="00000000" w:usb1="0000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Times New Roman"/>
    <w:panose1 w:val="00000000000000000000"/>
    <w:charset w:val="00"/>
    <w:family w:val="roman"/>
    <w:pitch w:val="default"/>
    <w:sig w:usb0="00000000" w:usb1="00000000" w:usb2="00000000" w:usb3="00000000" w:csb0="00000000"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D142">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DE9A44">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vCv6csBAACcAwAADgAAAGRycy9lMm9Eb2MueG1srVNLbtswEN0XyB0I&#10;7mPKKlA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nhb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Lwr+nLAQAAnAMAAA4AAAAAAAAAAQAgAAAAHgEAAGRycy9lMm9E&#10;b2MueG1sUEsFBgAAAAAGAAYAWQEAAFsFAAAAAA==&#10;">
              <v:fill on="f" focussize="0,0"/>
              <v:stroke on="f"/>
              <v:imagedata o:title=""/>
              <o:lock v:ext="edit" aspectratio="f"/>
              <v:textbox inset="0mm,0mm,0mm,0mm" style="mso-fit-shape-to-text:t;">
                <w:txbxContent>
                  <w:p w14:paraId="6BDE9A44">
                    <w:pPr>
                      <w:pStyle w:val="1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2750820</wp:posOffset>
              </wp:positionH>
              <wp:positionV relativeFrom="paragraph">
                <wp:posOffset>0</wp:posOffset>
              </wp:positionV>
              <wp:extent cx="114935" cy="2286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9525">
                        <a:noFill/>
                      </a:ln>
                      <a:effectLst/>
                    </wps:spPr>
                    <wps:txbx>
                      <w:txbxContent>
                        <w:p w14:paraId="75BFB84B">
                          <w:pPr>
                            <w:snapToGrid w:val="0"/>
                            <w:rPr>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left:216.6pt;margin-top:0pt;height:18pt;width:9.05pt;mso-position-horizontal-relative:margin;mso-wrap-style:none;z-index:251659264;mso-width-relative:page;mso-height-relative:page;" filled="f" stroked="f" coordsize="21600,21600" o:gfxdata="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XinU/1AAAAAcBAAAPAAAAAAAA&#10;AAEAIAAAACIAAABkcnMvZG93bnJldi54bWxQSwECFAAUAAAACACHTuJATs6Yhd0BAACuAwAADgAA&#10;AAAAAAABACAAAAAjAQAAZHJzL2Uyb0RvYy54bWxQSwUGAAAAAAYABgBZAQAAcgUAAAAA&#10;">
              <v:fill on="f" focussize="0,0"/>
              <v:stroke on="f"/>
              <v:imagedata o:title=""/>
              <o:lock v:ext="edit" aspectratio="f"/>
              <v:textbox inset="0mm,0mm,0mm,0mm" style="mso-fit-shape-to-text:t;">
                <w:txbxContent>
                  <w:p w14:paraId="75BFB84B">
                    <w:pPr>
                      <w:snapToGrid w:val="0"/>
                      <w:rPr>
                        <w:sz w:val="18"/>
                      </w:rPr>
                    </w:pPr>
                  </w:p>
                </w:txbxContent>
              </v:textbox>
            </v:shape>
          </w:pict>
        </mc:Fallback>
      </mc:AlternateContent>
    </w:r>
    <w:r>
      <w:rPr>
        <w:rFonts w:hint="eastAsia"/>
      </w:rPr>
      <w:t>----------------------------------------------------------------</w:t>
    </w:r>
    <w:r>
      <w:t xml:space="preserve">- </w:t>
    </w:r>
    <w:r>
      <w:rPr>
        <w:rFonts w:hint="eastAsia"/>
      </w:rPr>
      <w:t xml:space="preserve">        -------------------------------------------------------------------</w:t>
    </w:r>
  </w:p>
  <w:p w14:paraId="07C2EB62">
    <w:pPr>
      <w:pStyle w:val="12"/>
      <w:ind w:firstLine="180" w:firstLineChars="100"/>
      <w:jc w:val="both"/>
      <w:rPr>
        <w:rFonts w:hint="default" w:eastAsiaTheme="minorEastAsia"/>
        <w:color w:val="0000FF"/>
        <w:lang w:val="en-US" w:eastAsia="zh-CN"/>
      </w:rPr>
    </w:pPr>
    <w:r>
      <w:rPr>
        <w:rFonts w:hint="eastAsia"/>
      </w:rPr>
      <w:t xml:space="preserve">采购代理机构：焦作市公共资源项目服务有限责任公司        </w:t>
    </w:r>
    <w:r>
      <w:rPr>
        <w:rFonts w:hint="eastAsia"/>
        <w:lang w:val="en-US" w:eastAsia="zh-CN"/>
      </w:rPr>
      <w:t xml:space="preserve">     </w:t>
    </w:r>
    <w:r>
      <w:rPr>
        <w:rFonts w:hint="eastAsia"/>
        <w:color w:val="auto"/>
      </w:rPr>
      <w:t>项目编号</w:t>
    </w:r>
    <w:r>
      <w:rPr>
        <w:rFonts w:hint="eastAsia"/>
        <w:color w:val="auto"/>
        <w:lang w:eastAsia="zh-CN"/>
      </w:rPr>
      <w:t>：焦公资采购F2025—176</w:t>
    </w:r>
  </w:p>
  <w:p w14:paraId="5D393BC2">
    <w:pPr>
      <w:pStyle w:val="12"/>
      <w:rPr>
        <w:rFonts w:hint="eastAsia" w:eastAsiaTheme="minorEastAsia"/>
        <w:color w:val="0000FF"/>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F1581">
    <w:pPr>
      <w:pStyle w:val="13"/>
    </w:pPr>
  </w:p>
  <w:p w14:paraId="6BD693A9">
    <w:pPr>
      <w:pStyle w:val="13"/>
    </w:pPr>
  </w:p>
  <w:p w14:paraId="38946E17">
    <w:pPr>
      <w:pStyle w:val="13"/>
    </w:pPr>
  </w:p>
  <w:p w14:paraId="38267E0E">
    <w:pPr>
      <w:pStyle w:val="13"/>
    </w:pPr>
  </w:p>
  <w:p w14:paraId="19161E05">
    <w:pPr>
      <w:pStyle w:val="13"/>
      <w:rPr>
        <w:rFonts w:asciiTheme="minorEastAsia" w:hAnsiTheme="minorEastAsia" w:cstheme="minor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461ED">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EDBB5"/>
    <w:multiLevelType w:val="singleLevel"/>
    <w:tmpl w:val="9F0EDBB5"/>
    <w:lvl w:ilvl="0" w:tentative="0">
      <w:start w:val="3"/>
      <w:numFmt w:val="chineseCounting"/>
      <w:suff w:val="space"/>
      <w:lvlText w:val="第%1部分"/>
      <w:lvlJc w:val="left"/>
      <w:rPr>
        <w:rFonts w:hint="eastAsia"/>
      </w:rPr>
    </w:lvl>
  </w:abstractNum>
  <w:abstractNum w:abstractNumId="1">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4"/>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pStyle w:val="5"/>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MTFjZmRiNzM4MzNiZWZiNTU3YzllZWZkYThjNzQifQ=="/>
  </w:docVars>
  <w:rsids>
    <w:rsidRoot w:val="53D442D1"/>
    <w:rsid w:val="000250C0"/>
    <w:rsid w:val="00112F2C"/>
    <w:rsid w:val="00147215"/>
    <w:rsid w:val="001E2A60"/>
    <w:rsid w:val="001E2B67"/>
    <w:rsid w:val="001F75E5"/>
    <w:rsid w:val="002050A9"/>
    <w:rsid w:val="003450F5"/>
    <w:rsid w:val="00360CC4"/>
    <w:rsid w:val="004921BF"/>
    <w:rsid w:val="006B1E66"/>
    <w:rsid w:val="007114F5"/>
    <w:rsid w:val="007523C7"/>
    <w:rsid w:val="00780AD5"/>
    <w:rsid w:val="00794422"/>
    <w:rsid w:val="0091027B"/>
    <w:rsid w:val="009C154E"/>
    <w:rsid w:val="00A50415"/>
    <w:rsid w:val="00A65D54"/>
    <w:rsid w:val="00AD7649"/>
    <w:rsid w:val="00B83159"/>
    <w:rsid w:val="00BD4800"/>
    <w:rsid w:val="00C24DCC"/>
    <w:rsid w:val="00C51884"/>
    <w:rsid w:val="00CA717F"/>
    <w:rsid w:val="00CB612B"/>
    <w:rsid w:val="00CE3CC5"/>
    <w:rsid w:val="00D214F9"/>
    <w:rsid w:val="00D6251D"/>
    <w:rsid w:val="00D65700"/>
    <w:rsid w:val="00DB26A0"/>
    <w:rsid w:val="00DC232C"/>
    <w:rsid w:val="00E057E7"/>
    <w:rsid w:val="00EC638B"/>
    <w:rsid w:val="00EE302E"/>
    <w:rsid w:val="00FA12ED"/>
    <w:rsid w:val="00FD6F23"/>
    <w:rsid w:val="01873E38"/>
    <w:rsid w:val="01917AF4"/>
    <w:rsid w:val="01AB1CB6"/>
    <w:rsid w:val="01E00F93"/>
    <w:rsid w:val="025C6571"/>
    <w:rsid w:val="026D6755"/>
    <w:rsid w:val="03353971"/>
    <w:rsid w:val="03A37A3E"/>
    <w:rsid w:val="044C1652"/>
    <w:rsid w:val="045112A7"/>
    <w:rsid w:val="04545498"/>
    <w:rsid w:val="0461553D"/>
    <w:rsid w:val="047B38D5"/>
    <w:rsid w:val="04C02769"/>
    <w:rsid w:val="053C19D0"/>
    <w:rsid w:val="05651035"/>
    <w:rsid w:val="056B04E3"/>
    <w:rsid w:val="05EE380B"/>
    <w:rsid w:val="060B0714"/>
    <w:rsid w:val="06493338"/>
    <w:rsid w:val="0693331C"/>
    <w:rsid w:val="06CF7946"/>
    <w:rsid w:val="06ED1B08"/>
    <w:rsid w:val="078F6021"/>
    <w:rsid w:val="07983BBA"/>
    <w:rsid w:val="07DD5C7A"/>
    <w:rsid w:val="08127FAC"/>
    <w:rsid w:val="082E4E66"/>
    <w:rsid w:val="08C238DC"/>
    <w:rsid w:val="092206AF"/>
    <w:rsid w:val="098C04C4"/>
    <w:rsid w:val="099604C6"/>
    <w:rsid w:val="09F50DC2"/>
    <w:rsid w:val="0A4051B2"/>
    <w:rsid w:val="0AA442C7"/>
    <w:rsid w:val="0AE60F51"/>
    <w:rsid w:val="0B1311AC"/>
    <w:rsid w:val="0C0E2DA5"/>
    <w:rsid w:val="0C127389"/>
    <w:rsid w:val="0C364685"/>
    <w:rsid w:val="0C813A57"/>
    <w:rsid w:val="0CAF469B"/>
    <w:rsid w:val="0CBC170B"/>
    <w:rsid w:val="0CDF6BCA"/>
    <w:rsid w:val="0D885B00"/>
    <w:rsid w:val="0E4470D2"/>
    <w:rsid w:val="0E7B6511"/>
    <w:rsid w:val="0EE374B0"/>
    <w:rsid w:val="0EEC2D4D"/>
    <w:rsid w:val="0F122CBC"/>
    <w:rsid w:val="0F2054B5"/>
    <w:rsid w:val="0F333B81"/>
    <w:rsid w:val="0F525E24"/>
    <w:rsid w:val="0F770A82"/>
    <w:rsid w:val="0F7A7D7F"/>
    <w:rsid w:val="0FB23D98"/>
    <w:rsid w:val="112F4E91"/>
    <w:rsid w:val="113050C9"/>
    <w:rsid w:val="115D182E"/>
    <w:rsid w:val="119D78A5"/>
    <w:rsid w:val="11A45BA3"/>
    <w:rsid w:val="11CB1F6C"/>
    <w:rsid w:val="11DD1279"/>
    <w:rsid w:val="11E50509"/>
    <w:rsid w:val="121C177E"/>
    <w:rsid w:val="12B349D4"/>
    <w:rsid w:val="14985B4E"/>
    <w:rsid w:val="154770B4"/>
    <w:rsid w:val="154E1411"/>
    <w:rsid w:val="15566CE2"/>
    <w:rsid w:val="157B4BAF"/>
    <w:rsid w:val="161A67E6"/>
    <w:rsid w:val="16243597"/>
    <w:rsid w:val="164B31EA"/>
    <w:rsid w:val="167870AF"/>
    <w:rsid w:val="16E678F3"/>
    <w:rsid w:val="174A0A7C"/>
    <w:rsid w:val="178D583F"/>
    <w:rsid w:val="17C922C2"/>
    <w:rsid w:val="18085DDE"/>
    <w:rsid w:val="18205A0A"/>
    <w:rsid w:val="182F4B3F"/>
    <w:rsid w:val="183A00B8"/>
    <w:rsid w:val="18694B86"/>
    <w:rsid w:val="189856E4"/>
    <w:rsid w:val="18E3407C"/>
    <w:rsid w:val="19426F8E"/>
    <w:rsid w:val="19544B12"/>
    <w:rsid w:val="19696E28"/>
    <w:rsid w:val="1979113B"/>
    <w:rsid w:val="19EB69B4"/>
    <w:rsid w:val="1A0A4136"/>
    <w:rsid w:val="1A356500"/>
    <w:rsid w:val="1A6F315F"/>
    <w:rsid w:val="1B920435"/>
    <w:rsid w:val="1CA74C23"/>
    <w:rsid w:val="1D45320A"/>
    <w:rsid w:val="1D6E12F8"/>
    <w:rsid w:val="1DC72A77"/>
    <w:rsid w:val="1DCF7A85"/>
    <w:rsid w:val="1E5F7E5B"/>
    <w:rsid w:val="1EBC6962"/>
    <w:rsid w:val="1EC302A1"/>
    <w:rsid w:val="1F7545DD"/>
    <w:rsid w:val="1F895BB0"/>
    <w:rsid w:val="1F903D71"/>
    <w:rsid w:val="1F9B16E7"/>
    <w:rsid w:val="1FB41770"/>
    <w:rsid w:val="20213414"/>
    <w:rsid w:val="20BB3B56"/>
    <w:rsid w:val="20DD2FE3"/>
    <w:rsid w:val="218D0F08"/>
    <w:rsid w:val="21C126A9"/>
    <w:rsid w:val="21C81245"/>
    <w:rsid w:val="21CF645C"/>
    <w:rsid w:val="21FE5B32"/>
    <w:rsid w:val="22185F53"/>
    <w:rsid w:val="231C4FCB"/>
    <w:rsid w:val="23511628"/>
    <w:rsid w:val="23554478"/>
    <w:rsid w:val="237D197C"/>
    <w:rsid w:val="23D32C7A"/>
    <w:rsid w:val="23E0360C"/>
    <w:rsid w:val="246B2678"/>
    <w:rsid w:val="24752256"/>
    <w:rsid w:val="248725DD"/>
    <w:rsid w:val="24FE4293"/>
    <w:rsid w:val="25834DCD"/>
    <w:rsid w:val="25CF63E6"/>
    <w:rsid w:val="25E846EC"/>
    <w:rsid w:val="26275C7A"/>
    <w:rsid w:val="26546105"/>
    <w:rsid w:val="268D24A9"/>
    <w:rsid w:val="26A97C08"/>
    <w:rsid w:val="26E55DD1"/>
    <w:rsid w:val="27066368"/>
    <w:rsid w:val="2832257E"/>
    <w:rsid w:val="286B1DCB"/>
    <w:rsid w:val="28AC132F"/>
    <w:rsid w:val="28D20A16"/>
    <w:rsid w:val="28F11A5B"/>
    <w:rsid w:val="28F94A9E"/>
    <w:rsid w:val="29531E1B"/>
    <w:rsid w:val="29667787"/>
    <w:rsid w:val="29B84016"/>
    <w:rsid w:val="29FA610C"/>
    <w:rsid w:val="2A0877E7"/>
    <w:rsid w:val="2A473401"/>
    <w:rsid w:val="2B354F75"/>
    <w:rsid w:val="2B6714D5"/>
    <w:rsid w:val="2BB00021"/>
    <w:rsid w:val="2BDB7BDC"/>
    <w:rsid w:val="2CAA4A96"/>
    <w:rsid w:val="2CB831C8"/>
    <w:rsid w:val="2CC91F9E"/>
    <w:rsid w:val="2D205220"/>
    <w:rsid w:val="2D33228F"/>
    <w:rsid w:val="2D347242"/>
    <w:rsid w:val="2D573380"/>
    <w:rsid w:val="2D965C5E"/>
    <w:rsid w:val="2E165758"/>
    <w:rsid w:val="2E311037"/>
    <w:rsid w:val="2E370C3F"/>
    <w:rsid w:val="2E5C0E65"/>
    <w:rsid w:val="2F280F2A"/>
    <w:rsid w:val="2FB77071"/>
    <w:rsid w:val="2FBC6376"/>
    <w:rsid w:val="2FC558CA"/>
    <w:rsid w:val="2FCC0048"/>
    <w:rsid w:val="306C42AF"/>
    <w:rsid w:val="3087660A"/>
    <w:rsid w:val="30A42777"/>
    <w:rsid w:val="311571C9"/>
    <w:rsid w:val="31361DAD"/>
    <w:rsid w:val="31423DF9"/>
    <w:rsid w:val="314B2CBE"/>
    <w:rsid w:val="31653C0A"/>
    <w:rsid w:val="31A514EA"/>
    <w:rsid w:val="31FA0F82"/>
    <w:rsid w:val="323F4117"/>
    <w:rsid w:val="32544B3F"/>
    <w:rsid w:val="328C2F11"/>
    <w:rsid w:val="328E1527"/>
    <w:rsid w:val="32AA6F93"/>
    <w:rsid w:val="331B124A"/>
    <w:rsid w:val="332F0DD6"/>
    <w:rsid w:val="341A71BC"/>
    <w:rsid w:val="344E4BA8"/>
    <w:rsid w:val="34543FF5"/>
    <w:rsid w:val="34745E32"/>
    <w:rsid w:val="347B3AE9"/>
    <w:rsid w:val="347D018A"/>
    <w:rsid w:val="34CE766A"/>
    <w:rsid w:val="34F9491C"/>
    <w:rsid w:val="34FC055C"/>
    <w:rsid w:val="359D4B7E"/>
    <w:rsid w:val="35FF1AD6"/>
    <w:rsid w:val="366C175B"/>
    <w:rsid w:val="369A078D"/>
    <w:rsid w:val="36A56EBD"/>
    <w:rsid w:val="36F41E80"/>
    <w:rsid w:val="36FB193F"/>
    <w:rsid w:val="374D72CD"/>
    <w:rsid w:val="37FB747C"/>
    <w:rsid w:val="389970E2"/>
    <w:rsid w:val="38C71415"/>
    <w:rsid w:val="38D85997"/>
    <w:rsid w:val="397B45CF"/>
    <w:rsid w:val="39B3246F"/>
    <w:rsid w:val="39E97047"/>
    <w:rsid w:val="3A7E33B5"/>
    <w:rsid w:val="3AAB078B"/>
    <w:rsid w:val="3AB4195B"/>
    <w:rsid w:val="3AC26A2D"/>
    <w:rsid w:val="3AD636BF"/>
    <w:rsid w:val="3ADD5D3A"/>
    <w:rsid w:val="3ADF221A"/>
    <w:rsid w:val="3B0F7C02"/>
    <w:rsid w:val="3B3D7F65"/>
    <w:rsid w:val="3C7F4A29"/>
    <w:rsid w:val="3D1204B5"/>
    <w:rsid w:val="3D1501A6"/>
    <w:rsid w:val="3D350D71"/>
    <w:rsid w:val="3D61767F"/>
    <w:rsid w:val="3D7C3E81"/>
    <w:rsid w:val="3E200EC4"/>
    <w:rsid w:val="3E6A2193"/>
    <w:rsid w:val="3E9C722C"/>
    <w:rsid w:val="3EDA6080"/>
    <w:rsid w:val="3EF0040E"/>
    <w:rsid w:val="3F523B0D"/>
    <w:rsid w:val="3F977BEE"/>
    <w:rsid w:val="401F7FC3"/>
    <w:rsid w:val="40413ACE"/>
    <w:rsid w:val="404E05AF"/>
    <w:rsid w:val="40554251"/>
    <w:rsid w:val="40CC2FCD"/>
    <w:rsid w:val="40CE2010"/>
    <w:rsid w:val="41462FDF"/>
    <w:rsid w:val="41D35645"/>
    <w:rsid w:val="41EB3D31"/>
    <w:rsid w:val="422F3858"/>
    <w:rsid w:val="4249747A"/>
    <w:rsid w:val="424D41A0"/>
    <w:rsid w:val="426A7813"/>
    <w:rsid w:val="438A0A78"/>
    <w:rsid w:val="44171B4F"/>
    <w:rsid w:val="441D323F"/>
    <w:rsid w:val="445C706C"/>
    <w:rsid w:val="446B28D2"/>
    <w:rsid w:val="4536382D"/>
    <w:rsid w:val="453A760D"/>
    <w:rsid w:val="4594633F"/>
    <w:rsid w:val="46090DF6"/>
    <w:rsid w:val="46DA7F46"/>
    <w:rsid w:val="478612BA"/>
    <w:rsid w:val="479A62DB"/>
    <w:rsid w:val="479F53B5"/>
    <w:rsid w:val="47B55D0C"/>
    <w:rsid w:val="480E6071"/>
    <w:rsid w:val="48A9193A"/>
    <w:rsid w:val="48FB0521"/>
    <w:rsid w:val="492D62B6"/>
    <w:rsid w:val="4A2825AD"/>
    <w:rsid w:val="4ADE67A9"/>
    <w:rsid w:val="4B257E95"/>
    <w:rsid w:val="4B2F1763"/>
    <w:rsid w:val="4B7F2F8A"/>
    <w:rsid w:val="4BD73566"/>
    <w:rsid w:val="4C1F0BD7"/>
    <w:rsid w:val="4CF83D8F"/>
    <w:rsid w:val="4D233E64"/>
    <w:rsid w:val="4D3641BE"/>
    <w:rsid w:val="4D6B2763"/>
    <w:rsid w:val="4E317757"/>
    <w:rsid w:val="4E322FC6"/>
    <w:rsid w:val="4ED020F6"/>
    <w:rsid w:val="4F0A2C8C"/>
    <w:rsid w:val="4F311C4D"/>
    <w:rsid w:val="4F3E0083"/>
    <w:rsid w:val="4F5075AF"/>
    <w:rsid w:val="50B102A1"/>
    <w:rsid w:val="50BA524C"/>
    <w:rsid w:val="50CE6635"/>
    <w:rsid w:val="50E41F7B"/>
    <w:rsid w:val="51034E74"/>
    <w:rsid w:val="5136429D"/>
    <w:rsid w:val="519B5FBE"/>
    <w:rsid w:val="53140476"/>
    <w:rsid w:val="531D59E8"/>
    <w:rsid w:val="53432C4B"/>
    <w:rsid w:val="534776EB"/>
    <w:rsid w:val="53592DE2"/>
    <w:rsid w:val="535C7D85"/>
    <w:rsid w:val="53711376"/>
    <w:rsid w:val="53CE5AA5"/>
    <w:rsid w:val="53D442D1"/>
    <w:rsid w:val="53EC509A"/>
    <w:rsid w:val="53F40C5A"/>
    <w:rsid w:val="53F608A1"/>
    <w:rsid w:val="54B546F5"/>
    <w:rsid w:val="557E77FD"/>
    <w:rsid w:val="56C139BC"/>
    <w:rsid w:val="56C90EB0"/>
    <w:rsid w:val="56D01501"/>
    <w:rsid w:val="56DE7F48"/>
    <w:rsid w:val="574F057C"/>
    <w:rsid w:val="575864E5"/>
    <w:rsid w:val="576C39F1"/>
    <w:rsid w:val="576D1B1A"/>
    <w:rsid w:val="58697CA8"/>
    <w:rsid w:val="58C54294"/>
    <w:rsid w:val="590757ED"/>
    <w:rsid w:val="59084171"/>
    <w:rsid w:val="591205CB"/>
    <w:rsid w:val="591F4911"/>
    <w:rsid w:val="592009F1"/>
    <w:rsid w:val="598E01DA"/>
    <w:rsid w:val="59C00CB9"/>
    <w:rsid w:val="59E53583"/>
    <w:rsid w:val="5ACE1ED4"/>
    <w:rsid w:val="5B67076D"/>
    <w:rsid w:val="5B684D17"/>
    <w:rsid w:val="5C02324C"/>
    <w:rsid w:val="5C0F3B7E"/>
    <w:rsid w:val="5C5748AF"/>
    <w:rsid w:val="5C85679F"/>
    <w:rsid w:val="5C8576FD"/>
    <w:rsid w:val="5CF13E4F"/>
    <w:rsid w:val="5D0C1B40"/>
    <w:rsid w:val="5DA7628D"/>
    <w:rsid w:val="5DCF02CE"/>
    <w:rsid w:val="5E1A7DF3"/>
    <w:rsid w:val="5E7E2106"/>
    <w:rsid w:val="5EBB1DEB"/>
    <w:rsid w:val="5EC73160"/>
    <w:rsid w:val="5ED2706D"/>
    <w:rsid w:val="5F154142"/>
    <w:rsid w:val="5F46697A"/>
    <w:rsid w:val="5F880153"/>
    <w:rsid w:val="60314D1F"/>
    <w:rsid w:val="60490E40"/>
    <w:rsid w:val="604A179E"/>
    <w:rsid w:val="610A0D16"/>
    <w:rsid w:val="616A405D"/>
    <w:rsid w:val="61944AB5"/>
    <w:rsid w:val="61D608AA"/>
    <w:rsid w:val="61EB3A52"/>
    <w:rsid w:val="61FF4E06"/>
    <w:rsid w:val="6295342D"/>
    <w:rsid w:val="62DB1B8F"/>
    <w:rsid w:val="62F00F4C"/>
    <w:rsid w:val="62F24FB3"/>
    <w:rsid w:val="62F5628E"/>
    <w:rsid w:val="62F70041"/>
    <w:rsid w:val="631772A7"/>
    <w:rsid w:val="632330AE"/>
    <w:rsid w:val="63572B4C"/>
    <w:rsid w:val="636707A0"/>
    <w:rsid w:val="636A7337"/>
    <w:rsid w:val="63FF0D56"/>
    <w:rsid w:val="6412507A"/>
    <w:rsid w:val="64200E71"/>
    <w:rsid w:val="65392F4B"/>
    <w:rsid w:val="65597FC4"/>
    <w:rsid w:val="65767AF7"/>
    <w:rsid w:val="65DA7A01"/>
    <w:rsid w:val="66024B5F"/>
    <w:rsid w:val="661605FD"/>
    <w:rsid w:val="66190138"/>
    <w:rsid w:val="66465531"/>
    <w:rsid w:val="667A365E"/>
    <w:rsid w:val="667C5CFB"/>
    <w:rsid w:val="66B4117D"/>
    <w:rsid w:val="66BE5F46"/>
    <w:rsid w:val="67013DF8"/>
    <w:rsid w:val="6701470A"/>
    <w:rsid w:val="670D0AF8"/>
    <w:rsid w:val="67355007"/>
    <w:rsid w:val="67634E12"/>
    <w:rsid w:val="67852F37"/>
    <w:rsid w:val="67AE2D97"/>
    <w:rsid w:val="6808529E"/>
    <w:rsid w:val="693E5767"/>
    <w:rsid w:val="694D757D"/>
    <w:rsid w:val="699D593C"/>
    <w:rsid w:val="69CB640E"/>
    <w:rsid w:val="6A8A119A"/>
    <w:rsid w:val="6A920BEE"/>
    <w:rsid w:val="6B070383"/>
    <w:rsid w:val="6B6366AD"/>
    <w:rsid w:val="6B6F2FC4"/>
    <w:rsid w:val="6C513260"/>
    <w:rsid w:val="6CEC7EF3"/>
    <w:rsid w:val="6CF64A12"/>
    <w:rsid w:val="6E344E15"/>
    <w:rsid w:val="6E860397"/>
    <w:rsid w:val="6EA2165B"/>
    <w:rsid w:val="6EEF452E"/>
    <w:rsid w:val="6F212694"/>
    <w:rsid w:val="6F593892"/>
    <w:rsid w:val="6F7D14A1"/>
    <w:rsid w:val="6FE26E9D"/>
    <w:rsid w:val="701C5316"/>
    <w:rsid w:val="70A16CE6"/>
    <w:rsid w:val="70A17BDE"/>
    <w:rsid w:val="70CF3FED"/>
    <w:rsid w:val="70D66E93"/>
    <w:rsid w:val="71066B4E"/>
    <w:rsid w:val="71167AB0"/>
    <w:rsid w:val="714658D8"/>
    <w:rsid w:val="71703C6A"/>
    <w:rsid w:val="721F3B87"/>
    <w:rsid w:val="723862E0"/>
    <w:rsid w:val="72D83E1F"/>
    <w:rsid w:val="72E756AC"/>
    <w:rsid w:val="72F853FF"/>
    <w:rsid w:val="730A01C0"/>
    <w:rsid w:val="733A18A9"/>
    <w:rsid w:val="73BC72CC"/>
    <w:rsid w:val="73D22AB7"/>
    <w:rsid w:val="740B5D03"/>
    <w:rsid w:val="74240EC7"/>
    <w:rsid w:val="74597F23"/>
    <w:rsid w:val="746E557B"/>
    <w:rsid w:val="747562D6"/>
    <w:rsid w:val="74C25DAE"/>
    <w:rsid w:val="74CD0D26"/>
    <w:rsid w:val="74D37FF6"/>
    <w:rsid w:val="74FB0073"/>
    <w:rsid w:val="75910AB6"/>
    <w:rsid w:val="75B42B44"/>
    <w:rsid w:val="760965CB"/>
    <w:rsid w:val="763B24E3"/>
    <w:rsid w:val="765F40A7"/>
    <w:rsid w:val="766C513C"/>
    <w:rsid w:val="767F1E5E"/>
    <w:rsid w:val="769D1417"/>
    <w:rsid w:val="769F25DC"/>
    <w:rsid w:val="76B623DD"/>
    <w:rsid w:val="76B6730B"/>
    <w:rsid w:val="777122B8"/>
    <w:rsid w:val="77AA2440"/>
    <w:rsid w:val="780423A1"/>
    <w:rsid w:val="787B23DF"/>
    <w:rsid w:val="787D4124"/>
    <w:rsid w:val="79832C8D"/>
    <w:rsid w:val="799D6F46"/>
    <w:rsid w:val="79B50D89"/>
    <w:rsid w:val="7A2D6016"/>
    <w:rsid w:val="7A4976F4"/>
    <w:rsid w:val="7AD70815"/>
    <w:rsid w:val="7B0E18A2"/>
    <w:rsid w:val="7B126E0D"/>
    <w:rsid w:val="7B2432DD"/>
    <w:rsid w:val="7B5802D9"/>
    <w:rsid w:val="7B5A5AED"/>
    <w:rsid w:val="7BCB4C0D"/>
    <w:rsid w:val="7C31436E"/>
    <w:rsid w:val="7C4A2B81"/>
    <w:rsid w:val="7C60684F"/>
    <w:rsid w:val="7C994C35"/>
    <w:rsid w:val="7CA0076D"/>
    <w:rsid w:val="7D3A12D0"/>
    <w:rsid w:val="7D68335E"/>
    <w:rsid w:val="7DAD44DB"/>
    <w:rsid w:val="7DC069BA"/>
    <w:rsid w:val="7DC93323"/>
    <w:rsid w:val="7DDB385B"/>
    <w:rsid w:val="7E3F52E5"/>
    <w:rsid w:val="7E931E84"/>
    <w:rsid w:val="7EAA5254"/>
    <w:rsid w:val="7EBD12A2"/>
    <w:rsid w:val="7EBF2468"/>
    <w:rsid w:val="7EC24274"/>
    <w:rsid w:val="7ECD3DFA"/>
    <w:rsid w:val="7FA02866"/>
    <w:rsid w:val="7FD76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next w:val="4"/>
    <w:autoRedefine/>
    <w:qFormat/>
    <w:uiPriority w:val="0"/>
    <w:pPr>
      <w:keepNext/>
      <w:spacing w:after="80" w:line="312" w:lineRule="auto"/>
      <w:jc w:val="center"/>
      <w:outlineLvl w:val="0"/>
    </w:pPr>
    <w:rPr>
      <w:rFonts w:ascii="Gill Sans" w:hAnsi="Gill Sans" w:eastAsia="ヒラギノ角ゴ Pro W3" w:cs="Times New Roman"/>
      <w:b/>
      <w:color w:val="000000"/>
      <w:kern w:val="0"/>
      <w:sz w:val="36"/>
      <w:szCs w:val="20"/>
      <w:lang w:val="en-US" w:eastAsia="zh-CN" w:bidi="ar-SA"/>
    </w:rPr>
  </w:style>
  <w:style w:type="paragraph" w:styleId="4">
    <w:name w:val="heading 2"/>
    <w:basedOn w:val="1"/>
    <w:next w:val="1"/>
    <w:autoRedefine/>
    <w:qFormat/>
    <w:uiPriority w:val="0"/>
    <w:pPr>
      <w:keepNext/>
      <w:keepLines/>
      <w:numPr>
        <w:ilvl w:val="1"/>
        <w:numId w:val="1"/>
      </w:numPr>
      <w:adjustRightInd w:val="0"/>
      <w:spacing w:line="416" w:lineRule="atLeast"/>
      <w:jc w:val="left"/>
      <w:textAlignment w:val="baseline"/>
      <w:outlineLvl w:val="1"/>
    </w:pPr>
    <w:rPr>
      <w:rFonts w:ascii="Arial" w:hAnsi="Arial" w:eastAsia="黑体"/>
      <w:b/>
      <w:bCs/>
      <w:kern w:val="0"/>
      <w:sz w:val="32"/>
      <w:szCs w:val="32"/>
    </w:rPr>
  </w:style>
  <w:style w:type="paragraph" w:styleId="5">
    <w:name w:val="heading 4"/>
    <w:basedOn w:val="1"/>
    <w:next w:val="1"/>
    <w:autoRedefine/>
    <w:qFormat/>
    <w:uiPriority w:val="0"/>
    <w:pPr>
      <w:keepNext/>
      <w:keepLines/>
      <w:numPr>
        <w:ilvl w:val="3"/>
        <w:numId w:val="1"/>
      </w:numPr>
      <w:adjustRightInd w:val="0"/>
      <w:spacing w:line="376" w:lineRule="atLeast"/>
      <w:jc w:val="left"/>
      <w:textAlignment w:val="baseline"/>
      <w:outlineLvl w:val="3"/>
    </w:pPr>
    <w:rPr>
      <w:rFonts w:ascii="Arial" w:hAnsi="Arial" w:eastAsia="黑体"/>
      <w:b/>
      <w:bCs/>
      <w:kern w:val="0"/>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1"/>
    <w:basedOn w:val="1"/>
    <w:autoRedefine/>
    <w:qFormat/>
    <w:uiPriority w:val="0"/>
    <w:pPr>
      <w:adjustRightInd w:val="0"/>
      <w:spacing w:line="318" w:lineRule="atLeast"/>
      <w:ind w:left="369" w:firstLine="369"/>
      <w:textAlignment w:val="baseline"/>
    </w:pPr>
    <w:rPr>
      <w:rFonts w:ascii="宋体"/>
      <w:szCs w:val="20"/>
    </w:rPr>
  </w:style>
  <w:style w:type="paragraph" w:styleId="6">
    <w:name w:val="Document Map"/>
    <w:basedOn w:val="1"/>
    <w:link w:val="39"/>
    <w:autoRedefine/>
    <w:qFormat/>
    <w:uiPriority w:val="0"/>
    <w:rPr>
      <w:rFonts w:ascii="宋体" w:eastAsia="宋体"/>
      <w:sz w:val="18"/>
      <w:szCs w:val="18"/>
    </w:rPr>
  </w:style>
  <w:style w:type="paragraph" w:styleId="7">
    <w:name w:val="annotation text"/>
    <w:basedOn w:val="1"/>
    <w:autoRedefine/>
    <w:qFormat/>
    <w:uiPriority w:val="0"/>
    <w:pPr>
      <w:jc w:val="left"/>
    </w:pPr>
  </w:style>
  <w:style w:type="paragraph" w:styleId="8">
    <w:name w:val="Body Text"/>
    <w:basedOn w:val="1"/>
    <w:next w:val="9"/>
    <w:autoRedefine/>
    <w:qFormat/>
    <w:uiPriority w:val="0"/>
    <w:rPr>
      <w:rFonts w:ascii="仿宋_GB2312" w:hAnsi="STKaiti" w:eastAsia="仿宋_GB2312"/>
      <w:sz w:val="32"/>
    </w:rPr>
  </w:style>
  <w:style w:type="paragraph" w:styleId="9">
    <w:name w:val="Body Text 2"/>
    <w:basedOn w:val="1"/>
    <w:qFormat/>
    <w:uiPriority w:val="99"/>
    <w:pPr>
      <w:spacing w:line="340" w:lineRule="exact"/>
    </w:pPr>
    <w:rPr>
      <w:rFonts w:ascii="仿宋_GB2312" w:hAnsi="宋体" w:eastAsia="仿宋_GB2312"/>
      <w:sz w:val="28"/>
    </w:rPr>
  </w:style>
  <w:style w:type="paragraph" w:styleId="10">
    <w:name w:val="Body Text Indent"/>
    <w:basedOn w:val="1"/>
    <w:autoRedefine/>
    <w:qFormat/>
    <w:uiPriority w:val="0"/>
    <w:pPr>
      <w:ind w:firstLine="632" w:firstLineChars="200"/>
    </w:pPr>
    <w:rPr>
      <w:rFonts w:ascii="仿宋_GB2312" w:hAnsi="华文楷体" w:eastAsia="仿宋_GB2312"/>
      <w:sz w:val="32"/>
    </w:rPr>
  </w:style>
  <w:style w:type="paragraph" w:styleId="11">
    <w:name w:val="Balloon Text"/>
    <w:basedOn w:val="1"/>
    <w:link w:val="38"/>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8"/>
    <w:next w:val="17"/>
    <w:autoRedefine/>
    <w:qFormat/>
    <w:uiPriority w:val="0"/>
    <w:pPr>
      <w:ind w:firstLine="420" w:firstLineChars="100"/>
    </w:pPr>
    <w:rPr>
      <w:kern w:val="0"/>
      <w:sz w:val="20"/>
      <w:szCs w:val="20"/>
    </w:rPr>
  </w:style>
  <w:style w:type="paragraph" w:styleId="17">
    <w:name w:val="Body Text First Indent 2"/>
    <w:basedOn w:val="10"/>
    <w:next w:val="1"/>
    <w:autoRedefine/>
    <w:qFormat/>
    <w:uiPriority w:val="0"/>
    <w:pPr>
      <w:ind w:firstLine="420" w:firstLineChars="200"/>
    </w:pPr>
  </w:style>
  <w:style w:type="table" w:styleId="19">
    <w:name w:val="Table Grid"/>
    <w:basedOn w:val="18"/>
    <w:autoRedefine/>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style>
  <w:style w:type="character" w:styleId="22">
    <w:name w:val="FollowedHyperlink"/>
    <w:basedOn w:val="20"/>
    <w:autoRedefine/>
    <w:qFormat/>
    <w:uiPriority w:val="0"/>
    <w:rPr>
      <w:color w:val="333333"/>
      <w:u w:val="none"/>
    </w:rPr>
  </w:style>
  <w:style w:type="character" w:styleId="23">
    <w:name w:val="Emphasis"/>
    <w:basedOn w:val="20"/>
    <w:autoRedefine/>
    <w:qFormat/>
    <w:uiPriority w:val="0"/>
  </w:style>
  <w:style w:type="character" w:styleId="24">
    <w:name w:val="HTML Definition"/>
    <w:basedOn w:val="20"/>
    <w:autoRedefine/>
    <w:qFormat/>
    <w:uiPriority w:val="0"/>
  </w:style>
  <w:style w:type="character" w:styleId="25">
    <w:name w:val="HTML Typewriter"/>
    <w:basedOn w:val="20"/>
    <w:autoRedefine/>
    <w:qFormat/>
    <w:uiPriority w:val="0"/>
    <w:rPr>
      <w:rFonts w:ascii="monospace" w:hAnsi="monospace" w:eastAsia="monospace" w:cs="monospace"/>
      <w:sz w:val="20"/>
    </w:rPr>
  </w:style>
  <w:style w:type="character" w:styleId="26">
    <w:name w:val="HTML Acronym"/>
    <w:basedOn w:val="20"/>
    <w:autoRedefine/>
    <w:qFormat/>
    <w:uiPriority w:val="0"/>
    <w:rPr>
      <w:color w:val="D6D6D6"/>
      <w:sz w:val="24"/>
      <w:szCs w:val="24"/>
    </w:rPr>
  </w:style>
  <w:style w:type="character" w:styleId="27">
    <w:name w:val="HTML Variable"/>
    <w:basedOn w:val="20"/>
    <w:autoRedefine/>
    <w:qFormat/>
    <w:uiPriority w:val="0"/>
  </w:style>
  <w:style w:type="character" w:styleId="28">
    <w:name w:val="Hyperlink"/>
    <w:basedOn w:val="20"/>
    <w:autoRedefine/>
    <w:qFormat/>
    <w:uiPriority w:val="0"/>
    <w:rPr>
      <w:color w:val="333333"/>
      <w:u w:val="none"/>
    </w:rPr>
  </w:style>
  <w:style w:type="character" w:styleId="29">
    <w:name w:val="HTML Code"/>
    <w:basedOn w:val="20"/>
    <w:autoRedefine/>
    <w:qFormat/>
    <w:uiPriority w:val="0"/>
    <w:rPr>
      <w:rFonts w:hint="default" w:ascii="monospace" w:hAnsi="monospace" w:eastAsia="monospace" w:cs="monospace"/>
      <w:sz w:val="20"/>
    </w:rPr>
  </w:style>
  <w:style w:type="character" w:styleId="30">
    <w:name w:val="annotation reference"/>
    <w:basedOn w:val="20"/>
    <w:autoRedefine/>
    <w:qFormat/>
    <w:uiPriority w:val="0"/>
    <w:rPr>
      <w:sz w:val="21"/>
      <w:szCs w:val="21"/>
    </w:rPr>
  </w:style>
  <w:style w:type="character" w:styleId="31">
    <w:name w:val="HTML Cite"/>
    <w:basedOn w:val="20"/>
    <w:autoRedefine/>
    <w:qFormat/>
    <w:uiPriority w:val="0"/>
  </w:style>
  <w:style w:type="character" w:styleId="32">
    <w:name w:val="HTML Keyboard"/>
    <w:basedOn w:val="20"/>
    <w:autoRedefine/>
    <w:qFormat/>
    <w:uiPriority w:val="0"/>
    <w:rPr>
      <w:rFonts w:hint="default" w:ascii="monospace" w:hAnsi="monospace" w:eastAsia="monospace" w:cs="monospace"/>
      <w:sz w:val="20"/>
    </w:rPr>
  </w:style>
  <w:style w:type="character" w:styleId="33">
    <w:name w:val="HTML Sample"/>
    <w:basedOn w:val="20"/>
    <w:autoRedefine/>
    <w:qFormat/>
    <w:uiPriority w:val="0"/>
    <w:rPr>
      <w:rFonts w:hint="default" w:ascii="monospace" w:hAnsi="monospace" w:eastAsia="monospace" w:cs="monospace"/>
    </w:rPr>
  </w:style>
  <w:style w:type="paragraph" w:customStyle="1" w:styleId="34">
    <w:name w:val="Heading2"/>
    <w:basedOn w:val="1"/>
    <w:next w:val="1"/>
    <w:autoRedefine/>
    <w:qFormat/>
    <w:uiPriority w:val="0"/>
    <w:pPr>
      <w:spacing w:line="240" w:lineRule="atLeast"/>
      <w:jc w:val="center"/>
      <w:textAlignment w:val="baseline"/>
    </w:pPr>
    <w:rPr>
      <w:kern w:val="0"/>
      <w:sz w:val="28"/>
      <w:szCs w:val="24"/>
      <w:lang w:val="en-US" w:eastAsia="zh-CN" w:bidi="ar-SA"/>
    </w:rPr>
  </w:style>
  <w:style w:type="paragraph" w:customStyle="1" w:styleId="35">
    <w:name w:val="列表 21"/>
    <w:basedOn w:val="1"/>
    <w:autoRedefine/>
    <w:qFormat/>
    <w:uiPriority w:val="0"/>
    <w:pPr>
      <w:suppressAutoHyphens/>
      <w:ind w:left="100" w:hanging="200"/>
    </w:pPr>
    <w:rPr>
      <w:rFonts w:ascii="Times New Roman" w:hAnsi="Times New Roman" w:eastAsia="宋体" w:cs="Times New Roman"/>
      <w:kern w:val="1"/>
    </w:rPr>
  </w:style>
  <w:style w:type="paragraph" w:customStyle="1" w:styleId="36">
    <w:name w:val="无间隔1"/>
    <w:basedOn w:val="1"/>
    <w:autoRedefine/>
    <w:qFormat/>
    <w:uiPriority w:val="1"/>
    <w:pPr>
      <w:spacing w:line="400" w:lineRule="exact"/>
    </w:pPr>
    <w:rPr>
      <w:sz w:val="24"/>
    </w:rPr>
  </w:style>
  <w:style w:type="paragraph" w:customStyle="1" w:styleId="37">
    <w:name w:val="列出段落1"/>
    <w:basedOn w:val="1"/>
    <w:autoRedefine/>
    <w:qFormat/>
    <w:uiPriority w:val="34"/>
    <w:pPr>
      <w:adjustRightInd w:val="0"/>
      <w:spacing w:line="360" w:lineRule="atLeast"/>
      <w:ind w:firstLine="420" w:firstLineChars="200"/>
      <w:textAlignment w:val="baseline"/>
    </w:pPr>
    <w:rPr>
      <w:sz w:val="24"/>
    </w:rPr>
  </w:style>
  <w:style w:type="character" w:customStyle="1" w:styleId="38">
    <w:name w:val="批注框文本 字符"/>
    <w:basedOn w:val="20"/>
    <w:link w:val="11"/>
    <w:autoRedefine/>
    <w:qFormat/>
    <w:uiPriority w:val="0"/>
    <w:rPr>
      <w:rFonts w:asciiTheme="minorHAnsi" w:hAnsiTheme="minorHAnsi" w:eastAsiaTheme="minorEastAsia" w:cstheme="minorBidi"/>
      <w:kern w:val="2"/>
      <w:sz w:val="18"/>
      <w:szCs w:val="18"/>
    </w:rPr>
  </w:style>
  <w:style w:type="character" w:customStyle="1" w:styleId="39">
    <w:name w:val="文档结构图 字符"/>
    <w:basedOn w:val="20"/>
    <w:link w:val="6"/>
    <w:autoRedefine/>
    <w:qFormat/>
    <w:uiPriority w:val="0"/>
    <w:rPr>
      <w:rFonts w:ascii="宋体" w:hAnsiTheme="minorHAnsi" w:cstheme="minorBidi"/>
      <w:kern w:val="2"/>
      <w:sz w:val="18"/>
      <w:szCs w:val="18"/>
    </w:rPr>
  </w:style>
  <w:style w:type="paragraph" w:styleId="40">
    <w:name w:val="List Paragraph"/>
    <w:basedOn w:val="1"/>
    <w:autoRedefine/>
    <w:qFormat/>
    <w:uiPriority w:val="34"/>
    <w:pPr>
      <w:ind w:firstLine="420" w:firstLineChars="200"/>
    </w:pPr>
    <w:rPr>
      <w:rFonts w:ascii="Calibri" w:hAnsi="Calibri" w:eastAsia="宋体"/>
      <w:szCs w:val="22"/>
    </w:rPr>
  </w:style>
  <w:style w:type="character" w:customStyle="1" w:styleId="41">
    <w:name w:val="NormalCharacter"/>
    <w:autoRedefine/>
    <w:semiHidden/>
    <w:qFormat/>
    <w:uiPriority w:val="99"/>
  </w:style>
  <w:style w:type="paragraph" w:customStyle="1" w:styleId="42">
    <w:name w:val="首行缩进"/>
    <w:basedOn w:val="1"/>
    <w:autoRedefine/>
    <w:qFormat/>
    <w:uiPriority w:val="0"/>
    <w:pPr>
      <w:ind w:firstLine="480"/>
    </w:pPr>
    <w:rPr>
      <w:rFonts w:ascii="Arial" w:hAnsi="Arial"/>
      <w:lang w:val="zh-CN"/>
    </w:rPr>
  </w:style>
  <w:style w:type="character" w:customStyle="1" w:styleId="43">
    <w:name w:val="hover"/>
    <w:basedOn w:val="20"/>
    <w:autoRedefine/>
    <w:qFormat/>
    <w:uiPriority w:val="0"/>
    <w:rPr>
      <w:color w:val="2590EB"/>
    </w:rPr>
  </w:style>
  <w:style w:type="character" w:customStyle="1" w:styleId="44">
    <w:name w:val="hover1"/>
    <w:basedOn w:val="20"/>
    <w:autoRedefine/>
    <w:qFormat/>
    <w:uiPriority w:val="0"/>
    <w:rPr>
      <w:color w:val="2590EB"/>
    </w:rPr>
  </w:style>
  <w:style w:type="character" w:customStyle="1" w:styleId="45">
    <w:name w:val="hover2"/>
    <w:basedOn w:val="20"/>
    <w:autoRedefine/>
    <w:qFormat/>
    <w:uiPriority w:val="0"/>
  </w:style>
  <w:style w:type="character" w:customStyle="1" w:styleId="46">
    <w:name w:val="hover3"/>
    <w:basedOn w:val="20"/>
    <w:autoRedefine/>
    <w:qFormat/>
    <w:uiPriority w:val="0"/>
    <w:rPr>
      <w:color w:val="2590EB"/>
      <w:shd w:val="clear" w:fill="E9F4FD"/>
    </w:rPr>
  </w:style>
  <w:style w:type="paragraph" w:customStyle="1" w:styleId="47">
    <w:name w:val="Body"/>
    <w:autoRedefine/>
    <w:qFormat/>
    <w:uiPriority w:val="0"/>
    <w:pPr>
      <w:spacing w:after="140" w:line="288" w:lineRule="auto"/>
    </w:pPr>
    <w:rPr>
      <w:rFonts w:ascii="Lucida Grande" w:hAnsi="Lucida Grande" w:eastAsia="ヒラギノ角ゴ Pro W3" w:cs="Times New Roman"/>
      <w:color w:val="000000"/>
      <w:kern w:val="0"/>
      <w:sz w:val="20"/>
      <w:szCs w:val="20"/>
      <w:lang w:val="en-US" w:eastAsia="zh-CN" w:bidi="ar-SA"/>
    </w:rPr>
  </w:style>
  <w:style w:type="character" w:customStyle="1" w:styleId="48">
    <w:name w:val="hover4"/>
    <w:basedOn w:val="20"/>
    <w:autoRedefine/>
    <w:qFormat/>
    <w:uiPriority w:val="0"/>
    <w:rPr>
      <w:color w:val="2590EB"/>
      <w:shd w:val="clear" w:fill="E9F4FD"/>
    </w:rPr>
  </w:style>
  <w:style w:type="paragraph" w:customStyle="1" w:styleId="49">
    <w:name w:val="UserStyle_4"/>
    <w:autoRedefine/>
    <w:qFormat/>
    <w:uiPriority w:val="0"/>
    <w:pPr>
      <w:textAlignment w:val="baseline"/>
    </w:pPr>
    <w:rPr>
      <w:rFonts w:ascii="宋体" w:hAnsi="Droid Sans" w:eastAsia="宋体" w:cs="Times New Roman"/>
      <w:color w:val="000000"/>
      <w:sz w:val="24"/>
      <w:szCs w:val="24"/>
      <w:lang w:val="en-US" w:eastAsia="zh-CN" w:bidi="ar-SA"/>
    </w:rPr>
  </w:style>
  <w:style w:type="character" w:customStyle="1" w:styleId="50">
    <w:name w:val="first-child"/>
    <w:basedOn w:val="20"/>
    <w:autoRedefine/>
    <w:qFormat/>
    <w:uiPriority w:val="0"/>
  </w:style>
  <w:style w:type="character" w:customStyle="1" w:styleId="51">
    <w:name w:val="layui-layer-tabnow"/>
    <w:basedOn w:val="20"/>
    <w:autoRedefine/>
    <w:qFormat/>
    <w:uiPriority w:val="0"/>
    <w:rPr>
      <w:bdr w:val="single" w:color="CCCCCC" w:sz="6" w:space="0"/>
      <w:shd w:val="clear" w:fill="FFFFFF"/>
    </w:rPr>
  </w:style>
  <w:style w:type="character" w:customStyle="1" w:styleId="52">
    <w:name w:val="timeaxis"/>
    <w:basedOn w:val="20"/>
    <w:autoRedefine/>
    <w:qFormat/>
    <w:uiPriority w:val="0"/>
  </w:style>
  <w:style w:type="character" w:customStyle="1" w:styleId="53">
    <w:name w:val="room"/>
    <w:basedOn w:val="20"/>
    <w:autoRedefine/>
    <w:qFormat/>
    <w:uiPriority w:val="0"/>
  </w:style>
  <w:style w:type="character" w:customStyle="1" w:styleId="54">
    <w:name w:val="mini-outputtext1"/>
    <w:basedOn w:val="20"/>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2822</Words>
  <Characters>3055</Characters>
  <Lines>43</Lines>
  <Paragraphs>12</Paragraphs>
  <TotalTime>4</TotalTime>
  <ScaleCrop>false</ScaleCrop>
  <LinksUpToDate>false</LinksUpToDate>
  <CharactersWithSpaces>3143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2020-02-26T08:58:00Z</dcterms:created>
  <dc:creator>Administrator</dc:creator>
  <cp:lastModifiedBy>ywb2024</cp:lastModifiedBy>
  <cp:lastPrinted>2019-04-17T06:58:00Z</cp:lastPrinted>
  <dcterms:modified xsi:type="dcterms:W3CDTF">2025-10-15T08:37:07Z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08FBA29CF4EA452C843B715AE519B00A_13</vt:lpwstr>
  </property>
  <property fmtid="{D5CDD505-2E9C-101B-9397-08002B2CF9AE}" pid="4" name="KSOTemplateDocerSaveRecord">
    <vt:lpwstr>eyJoZGlkIjoiNWNlYWRjMjZmNjgyMDBjODRkYzFlMDUxZTA5OTE3MjEiLCJ1c2VySWQiOiI5NzczNjQ4MTgifQ==</vt:lpwstr>
  </property>
</Properties>
</file>