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ind w:firstLine="0" w:firstLineChars="0"/>
        <w:jc w:val="distribute"/>
        <w:rPr>
          <w:b/>
          <w:spacing w:val="-70"/>
          <w:sz w:val="72"/>
          <w:szCs w:val="72"/>
        </w:rPr>
      </w:pPr>
      <w:r>
        <w:rPr>
          <w:rFonts w:hint="eastAsia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01955" y="1942465"/>
                            <a:ext cx="4455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BF43Z9/gIAAA0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m5VpxM4BAACA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5;height:82677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C34ICwxgEAAH0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rFonts w:hint="eastAsia"/>
                          </w:rPr>
                          <w:t>地址：张家港市杨舍镇江帆路8号</w:t>
                        </w:r>
                        <w:r>
                          <w:rPr>
                            <w:rFonts w:hint="eastAsia"/>
                            <w:b/>
                            <w:color w:val="0000FF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Lk4mBrkAQAAFQ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1166"/>
        <w:jc w:val="distribute"/>
        <w:rPr>
          <w:b/>
          <w:spacing w:val="-70"/>
          <w:sz w:val="72"/>
          <w:szCs w:val="72"/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宋体 CN ExtraLight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 w:cs="思源宋体 CN ExtraLight"/>
          <w:b/>
          <w:sz w:val="52"/>
          <w:szCs w:val="52"/>
        </w:rPr>
        <w:t>焦作公共资源交易平台建设工程评委操作手册</w:t>
      </w:r>
    </w:p>
    <w:p>
      <w:pPr>
        <w:tabs>
          <w:tab w:val="left" w:pos="2998"/>
        </w:tabs>
        <w:bidi w:val="0"/>
        <w:ind w:left="0" w:leftChars="0" w:firstLine="0" w:firstLineChars="0"/>
        <w:jc w:val="left"/>
        <w:rPr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567" w:footer="624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40" w:lineRule="auto"/>
        <w:ind w:left="0" w:leftChars="0" w:firstLine="0" w:firstLineChars="0"/>
        <w:rPr>
          <w:rFonts w:ascii="宋体" w:hAnsi="宋体" w:eastAsia="宋体" w:cs="思源宋体 CN Light"/>
          <w:szCs w:val="21"/>
        </w:rPr>
      </w:pPr>
    </w:p>
    <w:sdt>
      <w:sdtPr>
        <w:rPr>
          <w:rFonts w:hint="eastAsia" w:ascii="Calibri" w:hAnsi="Calibri" w:cs="宋体"/>
          <w:b/>
          <w:bCs/>
          <w:color w:val="000000"/>
          <w:sz w:val="32"/>
          <w:szCs w:val="32"/>
        </w:rPr>
        <w:id w:val="14747737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cs="宋体"/>
          <w:b/>
          <w:bCs/>
          <w:color w:val="000000"/>
          <w:sz w:val="21"/>
          <w:szCs w:val="20"/>
        </w:rPr>
      </w:sdtEndPr>
      <w:sdtContent>
        <w:p>
          <w:pPr>
            <w:ind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>目  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_Toc18444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 xml:space="preserve">一、 </w:t>
          </w:r>
          <w:r>
            <w:rPr>
              <w:rFonts w:hint="eastAsia"/>
            </w:rPr>
            <w:t>评委操作说明</w:t>
          </w:r>
          <w:r>
            <w:tab/>
          </w:r>
          <w:r>
            <w:fldChar w:fldCharType="begin"/>
          </w:r>
          <w:r>
            <w:instrText xml:space="preserve"> PAGEREF _Toc18444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_Toc24787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1.1、 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_Toc24787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_Toc29333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1.2、 </w:t>
          </w:r>
          <w:r>
            <w:rPr>
              <w:rFonts w:hint="eastAsia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_Toc29333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_Toc20347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1.2.1、 </w:t>
          </w:r>
          <w:r>
            <w:rPr>
              <w:rFonts w:hint="eastAsia"/>
            </w:rPr>
            <w:t>评委回避</w:t>
          </w:r>
          <w:r>
            <w:tab/>
          </w:r>
          <w:r>
            <w:fldChar w:fldCharType="begin"/>
          </w:r>
          <w:r>
            <w:instrText xml:space="preserve"> PAGEREF _Toc20347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_Toc20215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1.2.2、 </w:t>
          </w:r>
          <w:r>
            <w:rPr>
              <w:rFonts w:hint="eastAsia"/>
            </w:rPr>
            <w:t>推荐评委负责人</w:t>
          </w:r>
          <w:r>
            <w:tab/>
          </w:r>
          <w:r>
            <w:fldChar w:fldCharType="begin"/>
          </w:r>
          <w:r>
            <w:instrText xml:space="preserve"> PAGEREF _Toc20215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_Toc26601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1.3、 </w:t>
          </w:r>
          <w:r>
            <w:rPr>
              <w:rFonts w:hint="eastAsia"/>
            </w:rPr>
            <w:t>清标</w:t>
          </w:r>
          <w:r>
            <w:tab/>
          </w:r>
          <w:r>
            <w:fldChar w:fldCharType="begin"/>
          </w:r>
          <w:r>
            <w:instrText xml:space="preserve"> PAGEREF _Toc26601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_Toc2318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1.3.1、 </w:t>
          </w:r>
          <w:r>
            <w:rPr>
              <w:rFonts w:hint="eastAsia"/>
            </w:rPr>
            <w:t>开始清标</w:t>
          </w:r>
          <w:r>
            <w:tab/>
          </w:r>
          <w:r>
            <w:fldChar w:fldCharType="begin"/>
          </w:r>
          <w:r>
            <w:instrText xml:space="preserve"> PAGEREF _Toc2318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_Toc2845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1.3.2、 </w:t>
          </w:r>
          <w:r>
            <w:rPr>
              <w:rFonts w:hint="eastAsia"/>
            </w:rPr>
            <w:t>清标结果</w:t>
          </w:r>
          <w:r>
            <w:tab/>
          </w:r>
          <w:r>
            <w:fldChar w:fldCharType="begin"/>
          </w:r>
          <w:r>
            <w:instrText xml:space="preserve"> PAGEREF _Toc2845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_Toc6187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1.3.3、 </w:t>
          </w:r>
          <w:r>
            <w:rPr>
              <w:rFonts w:hint="eastAsia"/>
            </w:rPr>
            <w:t>标书雷同性分析</w:t>
          </w:r>
          <w:r>
            <w:tab/>
          </w:r>
          <w:r>
            <w:fldChar w:fldCharType="begin"/>
          </w:r>
          <w:r>
            <w:instrText xml:space="preserve"> PAGEREF _Toc6187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_Toc11335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1.4、 </w:t>
          </w:r>
          <w:r>
            <w:rPr>
              <w:rFonts w:hint="eastAsia"/>
            </w:rPr>
            <w:t>初步评审</w:t>
          </w:r>
          <w:r>
            <w:tab/>
          </w:r>
          <w:r>
            <w:fldChar w:fldCharType="begin"/>
          </w:r>
          <w:r>
            <w:instrText xml:space="preserve"> PAGEREF _Toc11335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_Toc8015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1.4.1、 </w:t>
          </w:r>
          <w:r>
            <w:rPr>
              <w:rFonts w:hint="eastAsia"/>
            </w:rPr>
            <w:t>初步评审</w:t>
          </w:r>
          <w:r>
            <w:tab/>
          </w:r>
          <w:r>
            <w:fldChar w:fldCharType="begin"/>
          </w:r>
          <w:r>
            <w:instrText xml:space="preserve"> PAGEREF _Toc8015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_Toc21649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1.4.2、 </w:t>
          </w:r>
          <w:r>
            <w:rPr>
              <w:rFonts w:hint="eastAsia"/>
            </w:rPr>
            <w:t>初步评审汇总</w:t>
          </w:r>
          <w:r>
            <w:tab/>
          </w:r>
          <w:r>
            <w:fldChar w:fldCharType="begin"/>
          </w:r>
          <w:r>
            <w:instrText xml:space="preserve"> PAGEREF _Toc21649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_Toc29801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1.4.3、 </w:t>
          </w:r>
          <w:r>
            <w:rPr>
              <w:rFonts w:hint="eastAsia"/>
            </w:rPr>
            <w:t>无效文件查看</w:t>
          </w:r>
          <w:r>
            <w:tab/>
          </w:r>
          <w:r>
            <w:fldChar w:fldCharType="begin"/>
          </w:r>
          <w:r>
            <w:instrText xml:space="preserve"> PAGEREF _Toc29801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_Toc22004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1.4.4、 </w:t>
          </w:r>
          <w:r>
            <w:rPr>
              <w:rFonts w:hint="eastAsia"/>
            </w:rPr>
            <w:t>标价比较表</w:t>
          </w:r>
          <w:r>
            <w:tab/>
          </w:r>
          <w:r>
            <w:fldChar w:fldCharType="begin"/>
          </w:r>
          <w:r>
            <w:instrText xml:space="preserve"> PAGEREF _Toc22004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_Toc11852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1.5、 </w:t>
          </w:r>
          <w:r>
            <w:rPr>
              <w:rFonts w:hint="eastAsia"/>
            </w:rPr>
            <w:t>详细评审</w:t>
          </w:r>
          <w:r>
            <w:tab/>
          </w:r>
          <w:r>
            <w:fldChar w:fldCharType="begin"/>
          </w:r>
          <w:r>
            <w:instrText xml:space="preserve"> PAGEREF _Toc11852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_Toc11723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1.5.1、 </w:t>
          </w:r>
          <w:r>
            <w:rPr>
              <w:rFonts w:hint="eastAsia"/>
            </w:rPr>
            <w:t>挑选主材、挑选分部分项</w:t>
          </w:r>
          <w:r>
            <w:tab/>
          </w:r>
          <w:r>
            <w:fldChar w:fldCharType="begin"/>
          </w:r>
          <w:r>
            <w:instrText xml:space="preserve"> PAGEREF _Toc11723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_Toc22383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1.5.2、 </w:t>
          </w:r>
          <w:r>
            <w:rPr>
              <w:rFonts w:hint="eastAsia"/>
            </w:rPr>
            <w:t>完成抽项、经济标打分</w:t>
          </w:r>
          <w:r>
            <w:tab/>
          </w:r>
          <w:r>
            <w:fldChar w:fldCharType="begin"/>
          </w:r>
          <w:r>
            <w:instrText xml:space="preserve"> PAGEREF _Toc22383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_Toc23821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1.5.3、 </w:t>
          </w:r>
          <w:r>
            <w:rPr>
              <w:rFonts w:hint="eastAsia"/>
            </w:rPr>
            <w:t>技术、综合标打分</w:t>
          </w:r>
          <w:r>
            <w:tab/>
          </w:r>
          <w:r>
            <w:fldChar w:fldCharType="begin"/>
          </w:r>
          <w:r>
            <w:instrText xml:space="preserve"> PAGEREF _Toc23821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_Toc5062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1.5.4、 </w:t>
          </w:r>
          <w:r>
            <w:rPr>
              <w:rFonts w:hint="eastAsia"/>
            </w:rPr>
            <w:t>各项评分汇总</w:t>
          </w:r>
          <w:r>
            <w:tab/>
          </w:r>
          <w:r>
            <w:fldChar w:fldCharType="begin"/>
          </w:r>
          <w:r>
            <w:instrText xml:space="preserve"> PAGEREF _Toc5062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_Toc27477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1.6、 </w:t>
          </w:r>
          <w:r>
            <w:rPr>
              <w:rFonts w:hint="eastAsia"/>
            </w:rPr>
            <w:t>评标结果</w:t>
          </w:r>
          <w:r>
            <w:tab/>
          </w:r>
          <w:r>
            <w:fldChar w:fldCharType="begin"/>
          </w:r>
          <w:r>
            <w:instrText xml:space="preserve"> PAGEREF _Toc27477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_Toc14887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1.6.1、 </w:t>
          </w:r>
          <w:r>
            <w:rPr>
              <w:rFonts w:hint="eastAsia"/>
            </w:rPr>
            <w:t>最终排名</w:t>
          </w:r>
          <w:r>
            <w:tab/>
          </w:r>
          <w:r>
            <w:fldChar w:fldCharType="begin"/>
          </w:r>
          <w:r>
            <w:instrText xml:space="preserve"> PAGEREF _Toc14887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_Toc13087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1.6.2、 </w:t>
          </w:r>
          <w:r>
            <w:rPr>
              <w:rFonts w:hint="eastAsia"/>
            </w:rPr>
            <w:t>评标报告上传</w:t>
          </w:r>
          <w:r>
            <w:tab/>
          </w:r>
          <w:r>
            <w:fldChar w:fldCharType="begin"/>
          </w:r>
          <w:r>
            <w:instrText xml:space="preserve"> PAGEREF _Toc13087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_Toc9758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1.6.3、 </w:t>
          </w:r>
          <w:r>
            <w:rPr>
              <w:rFonts w:hint="eastAsia"/>
            </w:rPr>
            <w:t>评委签章</w:t>
          </w:r>
          <w:r>
            <w:tab/>
          </w:r>
          <w:r>
            <w:fldChar w:fldCharType="begin"/>
          </w:r>
          <w:r>
            <w:instrText xml:space="preserve"> PAGEREF _Toc9758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_Toc18652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1.6.4、 </w:t>
          </w:r>
          <w:r>
            <w:rPr>
              <w:rFonts w:hint="eastAsia"/>
            </w:rPr>
            <w:t>评标结束</w:t>
          </w:r>
          <w:r>
            <w:tab/>
          </w:r>
          <w:r>
            <w:fldChar w:fldCharType="begin"/>
          </w:r>
          <w:r>
            <w:instrText xml:space="preserve"> PAGEREF _Toc18652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_Toc27935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1.6.5、 </w:t>
          </w:r>
          <w:r>
            <w:rPr>
              <w:rFonts w:hint="eastAsia"/>
            </w:rPr>
            <w:t>评标报告</w:t>
          </w:r>
          <w:r>
            <w:tab/>
          </w:r>
          <w:r>
            <w:fldChar w:fldCharType="begin"/>
          </w:r>
          <w:r>
            <w:instrText xml:space="preserve"> PAGEREF _Toc27935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  <w:p>
          <w:pPr>
            <w:pStyle w:val="2"/>
            <w:spacing w:line="240" w:lineRule="auto"/>
            <w:ind w:firstLine="420"/>
            <w:rPr>
              <w:b/>
              <w:spacing w:val="4"/>
            </w:rPr>
          </w:pPr>
          <w:r>
            <w:rPr>
              <w:rFonts w:hint="eastAsia" w:ascii="思源宋体 CN Light" w:hAnsi="思源宋体 CN Light" w:cs="思源宋体 CN Light"/>
            </w:rPr>
            <w:fldChar w:fldCharType="end"/>
          </w:r>
        </w:p>
      </w:sdtContent>
    </w:sdt>
    <w:p>
      <w:pPr>
        <w:pStyle w:val="3"/>
        <w:bidi w:val="0"/>
      </w:pPr>
      <w:bookmarkStart w:id="0" w:name="_Toc18444"/>
      <w:bookmarkStart w:id="1" w:name="_Toc4601"/>
      <w:r>
        <w:rPr>
          <w:rFonts w:hint="eastAsia"/>
        </w:rPr>
        <w:t>评委操作说明</w:t>
      </w:r>
      <w:bookmarkEnd w:id="0"/>
      <w:bookmarkEnd w:id="1"/>
    </w:p>
    <w:p>
      <w:pPr>
        <w:pStyle w:val="4"/>
        <w:bidi w:val="0"/>
      </w:pPr>
      <w:bookmarkStart w:id="2" w:name="_Toc19604"/>
      <w:bookmarkStart w:id="3" w:name="_Toc24787"/>
      <w:r>
        <w:rPr>
          <w:rFonts w:hint="eastAsia"/>
        </w:rPr>
        <w:t>系统登录</w:t>
      </w:r>
      <w:bookmarkEnd w:id="2"/>
      <w:bookmarkEnd w:id="3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/>
        </w:rPr>
        <w:t>1、通过IE浏览器进入焦作网上开评标系统。如下图：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3675" cy="23164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2、在登录界面选择评委登录，输入姓名和身份证，点击“登录”按钮，系统即进入项目列表界面。</w:t>
      </w:r>
    </w:p>
    <w:p>
      <w:pPr>
        <w:pStyle w:val="2"/>
        <w:numPr>
          <w:ilvl w:val="0"/>
          <w:numId w:val="2"/>
        </w:numPr>
        <w:ind w:firstLine="420"/>
      </w:pPr>
      <w:r>
        <w:rPr>
          <w:rFonts w:hint="eastAsia"/>
          <w:lang w:val="en-US" w:eastAsia="zh-CN"/>
        </w:rPr>
        <w:t>找到所评项目，</w:t>
      </w:r>
      <w:r>
        <w:rPr>
          <w:rFonts w:hint="eastAsia"/>
        </w:rPr>
        <w:t>点击“进入项目”按钮进入主界面，如下图：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675" cy="1800860"/>
            <wp:effectExtent l="0" t="0" r="9525" b="254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4" w:name="_Toc29333"/>
      <w:r>
        <w:rPr>
          <w:rFonts w:hint="eastAsia"/>
        </w:rPr>
        <w:t>评标准备</w:t>
      </w:r>
      <w:bookmarkEnd w:id="4"/>
    </w:p>
    <w:p>
      <w:pPr>
        <w:pStyle w:val="5"/>
        <w:bidi w:val="0"/>
      </w:pPr>
      <w:bookmarkStart w:id="5" w:name="_Toc20347"/>
      <w:r>
        <w:rPr>
          <w:rFonts w:hint="eastAsia"/>
        </w:rPr>
        <w:t>评委回避</w:t>
      </w:r>
      <w:bookmarkEnd w:id="5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3"/>
        <w:ind w:firstLine="315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1、点击“评标准备”按钮进入评标准备界面，如下图：</w:t>
      </w:r>
    </w:p>
    <w:p>
      <w:pPr>
        <w:pStyle w:val="33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315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2、在此页面，评委可以看见投标单位及建设单位、代理单位的名称，然后选择需要回避还是不需要。若评委选择完需要回避的单位后点击“需要回避”按钮，进入输入回避理由的界面。如下图：</w:t>
      </w:r>
    </w:p>
    <w:p>
      <w:pPr>
        <w:pStyle w:val="33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6" w:name="_Toc20215"/>
      <w:bookmarkStart w:id="7" w:name="_Toc23029"/>
      <w:r>
        <w:rPr>
          <w:rFonts w:hint="eastAsia"/>
        </w:rPr>
        <w:t>推荐评委负责人</w:t>
      </w:r>
      <w:bookmarkEnd w:id="6"/>
      <w:bookmarkEnd w:id="7"/>
    </w:p>
    <w:p>
      <w:pPr>
        <w:pStyle w:val="33"/>
        <w:numPr>
          <w:ilvl w:val="0"/>
          <w:numId w:val="3"/>
        </w:numPr>
        <w:ind w:firstLine="315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点击“推荐评委负责人”按钮进入推荐评委负责人界面，如下图：</w:t>
      </w:r>
    </w:p>
    <w:p>
      <w:pPr>
        <w:pStyle w:val="33"/>
        <w:ind w:firstLine="0" w:firstLineChars="0"/>
      </w:pPr>
      <w:r>
        <w:drawing>
          <wp:inline distT="0" distB="0" distL="114300" distR="114300">
            <wp:extent cx="5266690" cy="2216785"/>
            <wp:effectExtent l="0" t="0" r="3810" b="571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4"/>
        </w:numPr>
        <w:ind w:firstLine="315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在此页面，评委可以看见所有评委的名称、所在单位和参与评标次数及评委的照片来选择推荐评委组长。点击“确认推荐”按钮进行推荐。</w:t>
      </w:r>
    </w:p>
    <w:p>
      <w:pPr>
        <w:pStyle w:val="33"/>
        <w:ind w:left="150" w:firstLine="165" w:firstLineChars="0"/>
        <w:rPr>
          <w:rFonts w:ascii="思源宋体 CN Light" w:hAnsi="思源宋体 CN Light" w:eastAsia="思源宋体 CN Light" w:cs="思源宋体 CN Light"/>
          <w:color w:val="FF0000"/>
          <w:sz w:val="21"/>
          <w:szCs w:val="21"/>
        </w:rPr>
      </w:pPr>
      <w:r>
        <w:rPr>
          <w:rFonts w:hint="eastAsia" w:ascii="思源宋体 CN Light" w:hAnsi="思源宋体 CN Light" w:eastAsia="思源宋体 CN Light" w:cs="思源宋体 CN Light"/>
          <w:color w:val="FF0000"/>
          <w:sz w:val="21"/>
          <w:szCs w:val="21"/>
        </w:rPr>
        <w:t>注：在所有评委推荐完成负责人后，需要负责人电脑进行页面刷新确认组长身份，如下图为刷新前后身份展示：</w:t>
      </w:r>
    </w:p>
    <w:p>
      <w:pPr>
        <w:pStyle w:val="33"/>
        <w:ind w:left="315" w:firstLine="0"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741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left="315" w:firstLine="0"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938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8" w:name="_Toc26601"/>
      <w:r>
        <w:rPr>
          <w:rFonts w:hint="eastAsia"/>
        </w:rPr>
        <w:t>清标</w:t>
      </w:r>
      <w:bookmarkEnd w:id="8"/>
    </w:p>
    <w:p>
      <w:pPr>
        <w:pStyle w:val="5"/>
        <w:bidi w:val="0"/>
      </w:pPr>
      <w:bookmarkStart w:id="9" w:name="_Toc2318"/>
      <w:bookmarkStart w:id="10" w:name="_Toc2891"/>
      <w:r>
        <w:rPr>
          <w:rFonts w:hint="eastAsia"/>
        </w:rPr>
        <w:t>开始清标</w:t>
      </w:r>
      <w:bookmarkEnd w:id="9"/>
    </w:p>
    <w:p>
      <w:pPr>
        <w:pStyle w:val="60"/>
        <w:numPr>
          <w:ilvl w:val="0"/>
          <w:numId w:val="5"/>
        </w:numPr>
        <w:ind w:firstLineChars="0"/>
      </w:pPr>
      <w:r>
        <w:rPr>
          <w:rFonts w:hint="eastAsia"/>
        </w:rPr>
        <w:t>组长点击【开始清标】按钮即可自动清标；</w:t>
      </w:r>
    </w:p>
    <w:p>
      <w:pPr>
        <w:ind w:left="420" w:firstLine="0" w:firstLineChars="0"/>
      </w:pPr>
      <w:r>
        <w:rPr>
          <w:rFonts w:hint="eastAsia"/>
          <w:color w:val="FF0000"/>
        </w:rPr>
        <w:t>注：清标只有评委组长可以进行，其他评委无清标按钮，但是可以查看清标结果</w:t>
      </w:r>
    </w:p>
    <w:p>
      <w:pPr>
        <w:ind w:firstLine="0" w:firstLineChars="0"/>
      </w:pPr>
      <w:r>
        <w:drawing>
          <wp:inline distT="0" distB="0" distL="0" distR="0">
            <wp:extent cx="5266690" cy="1962150"/>
            <wp:effectExtent l="0" t="0" r="0" b="0"/>
            <wp:docPr id="10" name="图片 10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7678" cy="1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1" w:name="_Toc2845"/>
      <w:r>
        <w:rPr>
          <w:rFonts w:hint="eastAsia"/>
        </w:rPr>
        <w:t>清标结果</w:t>
      </w:r>
      <w:bookmarkEnd w:id="11"/>
    </w:p>
    <w:p>
      <w:pPr>
        <w:pStyle w:val="60"/>
        <w:numPr>
          <w:ilvl w:val="0"/>
          <w:numId w:val="6"/>
        </w:numPr>
        <w:ind w:firstLineChars="0"/>
      </w:pPr>
      <w:r>
        <w:rPr>
          <w:rFonts w:hint="eastAsia"/>
        </w:rPr>
        <w:t>检查清标各项结果，确定是否对投标人废标，如需废标，请组长到【初步评审】-【无效文件查看】处对投标人进行废标；</w:t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066925"/>
            <wp:effectExtent l="0" t="0" r="2540" b="9525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306320"/>
            <wp:effectExtent l="0" t="0" r="254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2" w:name="_Toc6187"/>
      <w:r>
        <w:rPr>
          <w:rFonts w:hint="eastAsia"/>
        </w:rPr>
        <w:t>标书雷同性分析</w:t>
      </w:r>
      <w:bookmarkEnd w:id="12"/>
    </w:p>
    <w:p>
      <w:pPr>
        <w:pStyle w:val="33"/>
        <w:ind w:firstLine="420" w:firstLineChars="20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1、点击“标书雷同性分析”按钮进入标书雷同性分析界面，如下图：</w:t>
      </w:r>
    </w:p>
    <w:p>
      <w:pPr>
        <w:pStyle w:val="33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20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420" w:firstLineChars="20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2、点击“标书特征码”按钮进入标书特征码界面，如下图：</w:t>
      </w:r>
    </w:p>
    <w:p>
      <w:pPr>
        <w:pStyle w:val="33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21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525" w:firstLineChars="25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3、这里显示文件制作时间、文件制作机器码、文件创建标识码和上传时间。点击“特征码比对”按钮进入特征码比对界面，如下图：</w:t>
      </w:r>
    </w:p>
    <w:p>
      <w:pPr>
        <w:pStyle w:val="33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22" name="图片 1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" w:name="_Toc11335"/>
      <w:r>
        <w:rPr>
          <w:rFonts w:hint="eastAsia"/>
        </w:rPr>
        <w:t>初步评审</w:t>
      </w:r>
      <w:bookmarkEnd w:id="10"/>
      <w:bookmarkEnd w:id="13"/>
    </w:p>
    <w:p>
      <w:pPr>
        <w:pStyle w:val="5"/>
        <w:bidi w:val="0"/>
      </w:pPr>
      <w:bookmarkStart w:id="14" w:name="_Toc8015"/>
      <w:r>
        <w:rPr>
          <w:rFonts w:hint="eastAsia"/>
        </w:rPr>
        <w:t>初步评审</w:t>
      </w:r>
      <w:bookmarkEnd w:id="14"/>
    </w:p>
    <w:p>
      <w:pPr>
        <w:pStyle w:val="33"/>
        <w:ind w:firstLine="420" w:firstLineChars="20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1、点击“初步评审”按钮进入形式评审界面。如下图：</w:t>
      </w:r>
    </w:p>
    <w:p>
      <w:pPr>
        <w:pStyle w:val="33"/>
        <w:ind w:firstLine="0" w:firstLineChars="0"/>
        <w:jc w:val="center"/>
      </w:pPr>
      <w:r>
        <w:drawing>
          <wp:inline distT="0" distB="0" distL="0" distR="0">
            <wp:extent cx="5274310" cy="2254250"/>
            <wp:effectExtent l="0" t="0" r="254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6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选择单位，点击评审下方的单选按钮，对于各个评分点进行评分，如下图：</w:t>
      </w:r>
    </w:p>
    <w:p>
      <w:pPr>
        <w:pStyle w:val="33"/>
        <w:ind w:firstLine="0" w:firstLineChars="0"/>
        <w:jc w:val="center"/>
      </w:pPr>
      <w:r>
        <w:drawing>
          <wp:inline distT="0" distB="0" distL="0" distR="0">
            <wp:extent cx="5274310" cy="2164080"/>
            <wp:effectExtent l="0" t="0" r="2540" b="7620"/>
            <wp:docPr id="19" name="图片 19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left="315" w:firstLine="0"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全部评审完成后点击确认提交按钮，进入评审确认页面，确认无误后点击确认提交按钮，如下图：</w:t>
      </w:r>
    </w:p>
    <w:p>
      <w:pPr>
        <w:pStyle w:val="33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1725930"/>
            <wp:effectExtent l="0" t="0" r="2540" b="7620"/>
            <wp:docPr id="23" name="图片 23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5" w:name="_Toc21649"/>
      <w:r>
        <w:rPr>
          <w:rFonts w:hint="eastAsia"/>
        </w:rPr>
        <w:t>初步评审汇总</w:t>
      </w:r>
      <w:bookmarkEnd w:id="15"/>
    </w:p>
    <w:p>
      <w:pPr>
        <w:pStyle w:val="33"/>
        <w:numPr>
          <w:ilvl w:val="0"/>
          <w:numId w:val="7"/>
        </w:numPr>
        <w:ind w:firstLine="315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由组长点击“初步评审汇总”按钮进入形式评审汇总界面，确认无误后，点击“确定”按钮完成汇总，如下图：</w:t>
      </w:r>
    </w:p>
    <w:p>
      <w:pPr>
        <w:pStyle w:val="3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2095500"/>
            <wp:effectExtent l="0" t="0" r="2540" b="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6" w:name="_Toc29801"/>
      <w:r>
        <w:rPr>
          <w:rFonts w:hint="eastAsia"/>
        </w:rPr>
        <w:t>无效文件查看</w:t>
      </w:r>
      <w:bookmarkEnd w:id="16"/>
    </w:p>
    <w:p>
      <w:r>
        <w:rPr>
          <w:rFonts w:hint="eastAsia"/>
        </w:rPr>
        <w:t>1、在此页面点击投标单位名称，可以对单位进行手动废标操作，在跳出的废标页面选择废标节点、废标原因，点击“废标”，进行废标操作，如下图：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282190"/>
            <wp:effectExtent l="0" t="0" r="3810" b="381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2、被废标的单位显示在下方的废标单位一览中，点击“打印废标通知书”，可以进行废标通知书打印，点击“取消废标”，可以取消废标操作，点击“流标”，可将此项目流标，如下图：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7" w:name="_Toc22004"/>
      <w:r>
        <w:rPr>
          <w:rFonts w:hint="eastAsia"/>
        </w:rPr>
        <w:t>标价比较表</w:t>
      </w:r>
      <w:bookmarkEnd w:id="17"/>
    </w:p>
    <w:p>
      <w:pPr>
        <w:numPr>
          <w:ilvl w:val="0"/>
          <w:numId w:val="8"/>
        </w:numPr>
      </w:pPr>
      <w:r>
        <w:rPr>
          <w:rFonts w:hint="eastAsia"/>
        </w:rPr>
        <w:t>点击标价比较表按钮，可对入围的单位标价进行比较，如下图：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9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点击“重新生成标价比较表”按钮，可对标价进行重新分析，如下图：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10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点击单位后方“修改</w:t>
      </w:r>
      <w:r>
        <w:t>”</w:t>
      </w:r>
      <w:r>
        <w:rPr>
          <w:rFonts w:hint="eastAsia"/>
        </w:rPr>
        <w:t>按钮，可对单位标价进行手动修改，如下图：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2216785"/>
            <wp:effectExtent l="0" t="0" r="3810" b="5715"/>
            <wp:docPr id="10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8" w:name="_Toc11852"/>
      <w:r>
        <w:rPr>
          <w:rFonts w:hint="eastAsia"/>
        </w:rPr>
        <w:t>详细评审</w:t>
      </w:r>
      <w:bookmarkEnd w:id="18"/>
    </w:p>
    <w:p>
      <w:pPr>
        <w:pStyle w:val="5"/>
        <w:bidi w:val="0"/>
      </w:pPr>
      <w:bookmarkStart w:id="19" w:name="_Toc11723"/>
      <w:r>
        <w:rPr>
          <w:rFonts w:hint="eastAsia"/>
        </w:rPr>
        <w:t>挑选主材、挑选分部分项</w:t>
      </w:r>
      <w:bookmarkEnd w:id="19"/>
    </w:p>
    <w:p>
      <w:pPr>
        <w:pStyle w:val="2"/>
        <w:numPr>
          <w:ilvl w:val="0"/>
          <w:numId w:val="9"/>
        </w:numPr>
        <w:ind w:firstLineChars="0"/>
      </w:pPr>
      <w:r>
        <w:rPr>
          <w:rFonts w:hint="eastAsia"/>
          <w:lang w:val="en-US" w:eastAsia="zh-CN"/>
        </w:rPr>
        <w:t>挑选相应清单材料后，</w:t>
      </w:r>
      <w:r>
        <w:rPr>
          <w:rFonts w:hint="eastAsia"/>
        </w:rPr>
        <w:t>根据如图所示流程进行【手工选定】-【显示选定】-【挑选完成】</w:t>
      </w:r>
    </w:p>
    <w:p>
      <w:pPr>
        <w:pStyle w:val="2"/>
        <w:numPr>
          <w:ilvl w:val="1"/>
          <w:numId w:val="10"/>
        </w:numPr>
        <w:ind w:firstLineChars="0"/>
      </w:pPr>
      <w:r>
        <w:rPr>
          <w:rFonts w:hint="eastAsia"/>
        </w:rPr>
        <w:t>【手工选定】由评委组长对抽取项目进行逐条勾选</w:t>
      </w:r>
      <w:r>
        <w:rPr>
          <w:rFonts w:hint="eastAsia"/>
          <w:lang w:val="en-US" w:eastAsia="zh-CN"/>
        </w:rPr>
        <w:t>后点击该项</w:t>
      </w:r>
      <w:r>
        <w:rPr>
          <w:rFonts w:hint="eastAsia"/>
        </w:rPr>
        <w:t>；</w:t>
      </w:r>
    </w:p>
    <w:p>
      <w:pPr>
        <w:pStyle w:val="2"/>
        <w:numPr>
          <w:ilvl w:val="1"/>
          <w:numId w:val="10"/>
        </w:numPr>
        <w:ind w:firstLineChars="0"/>
      </w:pPr>
      <w:r>
        <w:rPr>
          <w:rFonts w:hint="eastAsia"/>
        </w:rPr>
        <w:t>【显示选定】点击后显示挑选的抽取项；</w:t>
      </w:r>
    </w:p>
    <w:p>
      <w:pPr>
        <w:pStyle w:val="2"/>
        <w:numPr>
          <w:ilvl w:val="1"/>
          <w:numId w:val="10"/>
        </w:numPr>
        <w:ind w:firstLineChars="0"/>
      </w:pPr>
      <w:r>
        <w:rPr>
          <w:rFonts w:hint="eastAsia"/>
        </w:rPr>
        <w:t>【挑选完成】抽取项无问题后，点击挑选完成；</w:t>
      </w:r>
    </w:p>
    <w:p>
      <w:pPr>
        <w:pStyle w:val="2"/>
        <w:numPr>
          <w:ilvl w:val="1"/>
          <w:numId w:val="10"/>
        </w:numPr>
        <w:ind w:firstLineChars="0"/>
      </w:pPr>
      <w:r>
        <w:rPr>
          <w:rFonts w:hint="eastAsia"/>
        </w:rPr>
        <w:t>【取消选定】抽取项有问题，点击取消选定；</w:t>
      </w:r>
    </w:p>
    <w:p>
      <w:pPr>
        <w:pStyle w:val="2"/>
        <w:numPr>
          <w:ilvl w:val="1"/>
          <w:numId w:val="10"/>
        </w:numPr>
        <w:ind w:firstLineChars="0"/>
      </w:pPr>
      <w:r>
        <w:rPr>
          <w:rFonts w:hint="eastAsia"/>
        </w:rPr>
        <w:t>【重置挑选完成】点击挑选完成后，如有问题可以进行重置，重新挑选；</w:t>
      </w:r>
    </w:p>
    <w:p>
      <w:pPr>
        <w:pStyle w:val="2"/>
        <w:ind w:firstLine="0" w:firstLineChars="0"/>
        <w:jc w:val="both"/>
      </w:pPr>
      <w:r>
        <w:drawing>
          <wp:inline distT="0" distB="0" distL="0" distR="0">
            <wp:extent cx="5274310" cy="2303145"/>
            <wp:effectExtent l="0" t="0" r="2540" b="1905"/>
            <wp:docPr id="14" name="图片 1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20" w:name="_Toc22383"/>
      <w:r>
        <w:rPr>
          <w:rFonts w:hint="eastAsia"/>
        </w:rPr>
        <w:t>完成抽项、经济标打分</w:t>
      </w:r>
      <w:bookmarkEnd w:id="20"/>
    </w:p>
    <w:p>
      <w:pPr>
        <w:pStyle w:val="2"/>
        <w:ind w:firstLineChars="0"/>
      </w:pPr>
      <w:r>
        <w:rPr>
          <w:rFonts w:hint="eastAsia"/>
        </w:rPr>
        <w:t>1、所有抽取项无异议后，经济标会由系统自动算出分数，如果没有分数，点击如下图刷新按钮，等待自动算分即可；</w:t>
      </w:r>
    </w:p>
    <w:p>
      <w:pPr>
        <w:pStyle w:val="2"/>
        <w:ind w:firstLine="0" w:firstLineChars="0"/>
        <w:jc w:val="both"/>
      </w:pPr>
      <w:r>
        <w:drawing>
          <wp:inline distT="0" distB="0" distL="0" distR="0">
            <wp:extent cx="5274310" cy="2080260"/>
            <wp:effectExtent l="0" t="0" r="2540" b="0"/>
            <wp:docPr id="15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21" w:name="_Toc23821"/>
      <w:r>
        <w:rPr>
          <w:rFonts w:hint="eastAsia"/>
        </w:rPr>
        <w:t>技术、综合标打分</w:t>
      </w:r>
      <w:bookmarkEnd w:id="21"/>
    </w:p>
    <w:p>
      <w:pPr>
        <w:ind w:left="420" w:firstLineChars="0"/>
      </w:pPr>
      <w:r>
        <w:rPr>
          <w:rFonts w:hint="eastAsia"/>
        </w:rPr>
        <w:t>1、直接在相应评分点对应的输入框中输入分数即可（分数必须在最高和最低值范围内）；</w:t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162175"/>
            <wp:effectExtent l="0" t="0" r="2540" b="9525"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22" w:name="_Toc5062"/>
      <w:r>
        <w:rPr>
          <w:rFonts w:hint="eastAsia"/>
        </w:rPr>
        <w:t>各项评分汇总</w:t>
      </w:r>
      <w:bookmarkEnd w:id="22"/>
    </w:p>
    <w:p>
      <w:pPr>
        <w:pStyle w:val="2"/>
        <w:numPr>
          <w:ilvl w:val="0"/>
          <w:numId w:val="11"/>
        </w:numPr>
        <w:ind w:firstLineChars="0"/>
      </w:pPr>
      <w:r>
        <w:rPr>
          <w:rFonts w:hint="eastAsia"/>
        </w:rPr>
        <w:t>由评委组长对详细评审各项打分进行汇总确定；</w:t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024380"/>
            <wp:effectExtent l="0" t="0" r="2540" b="0"/>
            <wp:docPr id="17" name="图片 17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23" w:name="_Toc9881"/>
      <w:bookmarkStart w:id="24" w:name="_Toc27477"/>
      <w:r>
        <w:rPr>
          <w:rFonts w:hint="eastAsia"/>
        </w:rPr>
        <w:t>评标结果</w:t>
      </w:r>
      <w:bookmarkEnd w:id="23"/>
      <w:bookmarkEnd w:id="24"/>
    </w:p>
    <w:p>
      <w:pPr>
        <w:pStyle w:val="5"/>
        <w:bidi w:val="0"/>
      </w:pPr>
      <w:bookmarkStart w:id="25" w:name="_Toc9479"/>
      <w:bookmarkStart w:id="26" w:name="_Toc14887"/>
      <w:r>
        <w:rPr>
          <w:rFonts w:hint="eastAsia"/>
        </w:rPr>
        <w:t>最终排名</w:t>
      </w:r>
      <w:bookmarkEnd w:id="25"/>
      <w:bookmarkEnd w:id="26"/>
    </w:p>
    <w:p>
      <w:pPr>
        <w:pStyle w:val="33"/>
        <w:numPr>
          <w:ilvl w:val="1"/>
          <w:numId w:val="9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点击“评标结果”按钮进入最终排名界面，如下图：</w:t>
      </w:r>
    </w:p>
    <w:p>
      <w:pPr>
        <w:pStyle w:val="3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2411730"/>
            <wp:effectExtent l="0" t="0" r="2540" b="7620"/>
            <wp:docPr id="34" name="图片 34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图表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firstLine="420" w:firstLineChars="20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3、显示投标单位各评审环节的分数及最终得分。评委组长先勾选前几名的候选人，然后点击“推荐成交候选人”按钮进行候选人推荐。</w:t>
      </w:r>
    </w:p>
    <w:p>
      <w:pPr>
        <w:pStyle w:val="33"/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687195"/>
            <wp:effectExtent l="0" t="0" r="2540" b="8255"/>
            <wp:docPr id="37" name="图片 37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日程表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48790"/>
            <wp:effectExtent l="0" t="0" r="2540" b="3810"/>
            <wp:docPr id="39" name="图片 3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27" w:name="_Toc13087"/>
      <w:r>
        <w:rPr>
          <w:rFonts w:hint="eastAsia"/>
        </w:rPr>
        <w:t>评标报告上传</w:t>
      </w:r>
      <w:bookmarkEnd w:id="27"/>
    </w:p>
    <w:p>
      <w:pPr>
        <w:pStyle w:val="16"/>
        <w:ind w:firstLine="0" w:firstLineChars="0"/>
      </w:pPr>
      <w:r>
        <w:tab/>
      </w:r>
      <w:r>
        <w:rPr>
          <w:rFonts w:hint="eastAsia"/>
        </w:rPr>
        <w:t>1、点击“上传”按钮，进行本次评标报告的结果进行上传，如下图：</w:t>
      </w:r>
    </w:p>
    <w:p>
      <w:pPr>
        <w:pStyle w:val="16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1929130"/>
            <wp:effectExtent l="0" t="0" r="2540" b="0"/>
            <wp:docPr id="40" name="图片 4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28" w:name="_Toc9758"/>
      <w:bookmarkStart w:id="29" w:name="_Toc26765"/>
      <w:r>
        <w:rPr>
          <w:rFonts w:hint="eastAsia"/>
        </w:rPr>
        <w:t>评委签章</w:t>
      </w:r>
      <w:bookmarkEnd w:id="28"/>
      <w:bookmarkEnd w:id="29"/>
    </w:p>
    <w:p>
      <w:pPr>
        <w:pStyle w:val="33"/>
        <w:numPr>
          <w:ilvl w:val="0"/>
          <w:numId w:val="12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点击“评委签章”按钮，进入签章界面，如下图：</w:t>
      </w:r>
    </w:p>
    <w:p>
      <w:pPr>
        <w:pStyle w:val="33"/>
        <w:ind w:firstLine="0" w:firstLineChars="0"/>
      </w:pPr>
      <w:r>
        <w:drawing>
          <wp:inline distT="0" distB="0" distL="0" distR="0">
            <wp:extent cx="5274310" cy="2098040"/>
            <wp:effectExtent l="0" t="0" r="2540" b="0"/>
            <wp:docPr id="41" name="图片 41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left="420" w:firstLine="0"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2、在该页面，点击签章，对所有需要签章的报表进行签章。</w:t>
      </w:r>
    </w:p>
    <w:p>
      <w:pPr>
        <w:pStyle w:val="5"/>
        <w:bidi w:val="0"/>
      </w:pPr>
      <w:bookmarkStart w:id="30" w:name="_Toc27311"/>
      <w:bookmarkStart w:id="31" w:name="_Toc18652"/>
      <w:r>
        <w:rPr>
          <w:rFonts w:hint="eastAsia"/>
        </w:rPr>
        <w:t>评标结束</w:t>
      </w:r>
      <w:bookmarkEnd w:id="30"/>
      <w:bookmarkEnd w:id="31"/>
    </w:p>
    <w:p>
      <w:pPr>
        <w:pStyle w:val="33"/>
        <w:numPr>
          <w:ilvl w:val="0"/>
          <w:numId w:val="13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评委组长有此权限。点击“评标结束”按钮意味着整个评标流程结束。如下图:</w:t>
      </w:r>
    </w:p>
    <w:p>
      <w:pPr>
        <w:pStyle w:val="33"/>
        <w:ind w:firstLine="0" w:firstLineChars="0"/>
      </w:pPr>
      <w:r>
        <w:drawing>
          <wp:inline distT="0" distB="0" distL="0" distR="0">
            <wp:extent cx="5274310" cy="2087880"/>
            <wp:effectExtent l="0" t="0" r="2540" b="7620"/>
            <wp:docPr id="42" name="图片 4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firstLine="0" w:firstLineChars="0"/>
        <w:jc w:val="center"/>
      </w:pPr>
      <w:r>
        <w:drawing>
          <wp:inline distT="0" distB="0" distL="0" distR="0">
            <wp:extent cx="5274310" cy="2050415"/>
            <wp:effectExtent l="0" t="0" r="2540" b="6985"/>
            <wp:docPr id="43" name="图片 4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32" w:name="_Toc27935"/>
      <w:bookmarkStart w:id="33" w:name="_Toc14409"/>
      <w:r>
        <w:rPr>
          <w:rFonts w:hint="eastAsia"/>
        </w:rPr>
        <w:t>评标报告</w:t>
      </w:r>
      <w:bookmarkEnd w:id="32"/>
      <w:bookmarkEnd w:id="33"/>
    </w:p>
    <w:p>
      <w:pPr>
        <w:pStyle w:val="33"/>
        <w:ind w:firstLine="420" w:firstLineChars="20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1、点击“评标报告”按钮进入评标报告界面，如下图：</w:t>
      </w:r>
    </w:p>
    <w:p>
      <w:pPr>
        <w:pStyle w:val="33"/>
        <w:ind w:firstLine="0" w:firstLineChars="0"/>
      </w:pPr>
      <w:r>
        <w:drawing>
          <wp:inline distT="0" distB="0" distL="0" distR="0">
            <wp:extent cx="5274310" cy="2136140"/>
            <wp:effectExtent l="0" t="0" r="2540" b="0"/>
            <wp:docPr id="44" name="图片 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firstLine="420" w:firstLineChars="200"/>
        <w:rPr>
          <w:rFonts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2、评标结束后，可查看并打印各评审环节的个人打分表及汇总表</w:t>
      </w:r>
    </w:p>
    <w:p>
      <w:pPr>
        <w:pStyle w:val="3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2202180"/>
            <wp:effectExtent l="0" t="0" r="2540" b="7620"/>
            <wp:docPr id="45" name="图片 4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0" w:type="first"/>
      <w:footerReference r:id="rId9" w:type="default"/>
      <w:pgSz w:w="11906" w:h="16838"/>
      <w:pgMar w:top="1440" w:right="1800" w:bottom="1440" w:left="1800" w:header="680" w:footer="624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ind w:firstLine="360"/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w:t>国泰新点软件股份有限公司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tabs>
        <w:tab w:val="center" w:pos="4213"/>
      </w:tabs>
      <w:spacing w:line="240" w:lineRule="auto"/>
      <w:ind w:firstLine="0" w:firstLineChars="0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  <w:r>
                            <w:rPr>
                              <w:rFonts w:hint="eastAsia"/>
                            </w:rPr>
                            <w:t>27</w:t>
                          </w:r>
                        </w:p>
                        <w:p>
                          <w:pPr>
                            <w:pStyle w:val="12"/>
                            <w:ind w:firstLine="360"/>
                          </w:pPr>
                        </w:p>
                        <w:p>
                          <w:pPr>
                            <w:pStyle w:val="12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P56+Us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/nr5S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</w:t>
                    </w:r>
                    <w:r>
                      <w:rPr>
                        <w:rFonts w:hint="eastAsia"/>
                      </w:rPr>
                      <w:t>27</w:t>
                    </w:r>
                  </w:p>
                  <w:p>
                    <w:pPr>
                      <w:pStyle w:val="12"/>
                      <w:ind w:firstLine="360"/>
                    </w:pPr>
                  </w:p>
                  <w:p>
                    <w:pPr>
                      <w:pStyle w:val="12"/>
                      <w:ind w:firstLine="360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>国泰新点软件股份有限公司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ind w:firstLine="360"/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4353560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.8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JCTgvVAAAACAEAAA8AAAAAAAAAAQAgAAAAIgAAAGRycy9kb3ducmV2LnhtbFBLAQIUABQA&#10;AAAIAIdO4kAALERsLAIAAFc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rFonts w:hint="eastAsia" w:ascii="宋体" w:hAnsi="宋体" w:eastAsia="宋体"/>
      </w:rPr>
      <w:t xml:space="preserve">国泰新点软件股份有限公司                                   </w:t>
    </w:r>
  </w:p>
  <w:p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1080" w:firstLineChars="600"/>
      <w:rPr>
        <w:sz w:val="18"/>
        <w:szCs w:val="18"/>
      </w:rPr>
    </w:pPr>
    <w:r>
      <w:rPr>
        <w:rFonts w:hint="eastAsia"/>
        <w:sz w:val="18"/>
        <w:szCs w:val="18"/>
      </w:rPr>
      <w:t>焦作公共资源交易平台建设工程评委操作手册</w:t>
    </w:r>
    <w:bookmarkStart w:id="34" w:name="_GoBack"/>
    <w:bookmarkEnd w:id="34"/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-53340</wp:posOffset>
          </wp:positionV>
          <wp:extent cx="601345" cy="229870"/>
          <wp:effectExtent l="0" t="0" r="8255" b="13970"/>
          <wp:wrapSquare wrapText="bothSides"/>
          <wp:docPr id="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rPr>
        <w:rFonts w:ascii="宋体" w:hAnsi="宋体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56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</w:rPr>
      <w:t>焦作公共资源交易平台建设工程评委操作手册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F2DE57"/>
    <w:multiLevelType w:val="multilevel"/>
    <w:tmpl w:val="A3F2DE57"/>
    <w:lvl w:ilvl="0" w:tentative="0">
      <w:start w:val="3"/>
      <w:numFmt w:val="decimal"/>
      <w:suff w:val="nothing"/>
      <w:lvlText w:val="%1、"/>
      <w:lvlJc w:val="left"/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284"/>
        </w:tabs>
        <w:ind w:left="284" w:firstLine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284"/>
        </w:tabs>
        <w:ind w:left="284" w:firstLine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1135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1276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418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2084"/>
        </w:tabs>
        <w:ind w:left="1560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2084"/>
        </w:tabs>
        <w:ind w:left="1702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444"/>
        </w:tabs>
        <w:ind w:left="1843" w:hanging="1559"/>
      </w:pPr>
      <w:rPr>
        <w:rFonts w:hint="eastAsia"/>
      </w:rPr>
    </w:lvl>
  </w:abstractNum>
  <w:abstractNum w:abstractNumId="1">
    <w:nsid w:val="A9A7BFCB"/>
    <w:multiLevelType w:val="singleLevel"/>
    <w:tmpl w:val="A9A7BFC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CB9ECF9"/>
    <w:multiLevelType w:val="multilevel"/>
    <w:tmpl w:val="DCB9ECF9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 w:ascii="思源宋体 CN Light" w:hAnsi="思源宋体 CN Light" w:eastAsia="思源宋体 CN Light" w:cs="思源宋体 CN Light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E06BE97F"/>
    <w:multiLevelType w:val="singleLevel"/>
    <w:tmpl w:val="E06BE97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09F498D"/>
    <w:multiLevelType w:val="multilevel"/>
    <w:tmpl w:val="109F498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1B57048"/>
    <w:multiLevelType w:val="multilevel"/>
    <w:tmpl w:val="11B5704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50A394F"/>
    <w:multiLevelType w:val="multilevel"/>
    <w:tmpl w:val="250A394F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7631C98"/>
    <w:multiLevelType w:val="multilevel"/>
    <w:tmpl w:val="37631C98"/>
    <w:lvl w:ilvl="0" w:tentative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32" w:hanging="372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448435EB"/>
    <w:multiLevelType w:val="multilevel"/>
    <w:tmpl w:val="448435E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CC51E09"/>
    <w:multiLevelType w:val="multilevel"/>
    <w:tmpl w:val="6CC51E09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FC82484"/>
    <w:multiLevelType w:val="multilevel"/>
    <w:tmpl w:val="6FC8248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EC205FF"/>
    <w:multiLevelType w:val="multilevel"/>
    <w:tmpl w:val="7EC205F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2">
    <w:nsid w:val="7FD17818"/>
    <w:multiLevelType w:val="multilevel"/>
    <w:tmpl w:val="7FD17818"/>
    <w:lvl w:ilvl="0" w:tentative="0">
      <w:start w:val="2"/>
      <w:numFmt w:val="decimal"/>
      <w:suff w:val="nothing"/>
      <w:lvlText w:val="%1、"/>
      <w:lvlJc w:val="left"/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2"/>
  </w:num>
  <w:num w:numId="5">
    <w:abstractNumId w:val="4"/>
  </w:num>
  <w:num w:numId="6">
    <w:abstractNumId w:val="5"/>
  </w:num>
  <w:num w:numId="7">
    <w:abstractNumId w:val="11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151EB"/>
    <w:rsid w:val="000579F4"/>
    <w:rsid w:val="0017041B"/>
    <w:rsid w:val="002111D9"/>
    <w:rsid w:val="002F375A"/>
    <w:rsid w:val="003B4C9C"/>
    <w:rsid w:val="003F269B"/>
    <w:rsid w:val="004423D1"/>
    <w:rsid w:val="00486EAE"/>
    <w:rsid w:val="004C0CB4"/>
    <w:rsid w:val="005B6CD2"/>
    <w:rsid w:val="005D6E99"/>
    <w:rsid w:val="005E7FDF"/>
    <w:rsid w:val="00613439"/>
    <w:rsid w:val="0066528F"/>
    <w:rsid w:val="006E097C"/>
    <w:rsid w:val="006F7266"/>
    <w:rsid w:val="007165EE"/>
    <w:rsid w:val="00772707"/>
    <w:rsid w:val="007B54C2"/>
    <w:rsid w:val="007F5FF0"/>
    <w:rsid w:val="008836B6"/>
    <w:rsid w:val="008D56AD"/>
    <w:rsid w:val="00911D47"/>
    <w:rsid w:val="00937057"/>
    <w:rsid w:val="009732A1"/>
    <w:rsid w:val="00992544"/>
    <w:rsid w:val="00A60C41"/>
    <w:rsid w:val="00A85FB0"/>
    <w:rsid w:val="00CC0A74"/>
    <w:rsid w:val="00CE68F3"/>
    <w:rsid w:val="00D92B1D"/>
    <w:rsid w:val="00D955B9"/>
    <w:rsid w:val="00E03F17"/>
    <w:rsid w:val="00E259B6"/>
    <w:rsid w:val="00E55CB9"/>
    <w:rsid w:val="00E64653"/>
    <w:rsid w:val="00F825C1"/>
    <w:rsid w:val="00FF7060"/>
    <w:rsid w:val="01325BEF"/>
    <w:rsid w:val="02D83EC6"/>
    <w:rsid w:val="03152DDC"/>
    <w:rsid w:val="06636008"/>
    <w:rsid w:val="085E51B8"/>
    <w:rsid w:val="09CC24B6"/>
    <w:rsid w:val="0A43739D"/>
    <w:rsid w:val="0AE81919"/>
    <w:rsid w:val="0BE95A5F"/>
    <w:rsid w:val="0BF361A2"/>
    <w:rsid w:val="0C5607C7"/>
    <w:rsid w:val="0CD66424"/>
    <w:rsid w:val="0D3E6BA1"/>
    <w:rsid w:val="0E6A4548"/>
    <w:rsid w:val="0EB604EB"/>
    <w:rsid w:val="14BB376C"/>
    <w:rsid w:val="15021557"/>
    <w:rsid w:val="162F2765"/>
    <w:rsid w:val="16DD5594"/>
    <w:rsid w:val="17022BC9"/>
    <w:rsid w:val="17B92F0D"/>
    <w:rsid w:val="18CB3AF9"/>
    <w:rsid w:val="197F4915"/>
    <w:rsid w:val="1A321020"/>
    <w:rsid w:val="1CBD1740"/>
    <w:rsid w:val="1CD35E78"/>
    <w:rsid w:val="1DDB020A"/>
    <w:rsid w:val="1EC22BB7"/>
    <w:rsid w:val="205958A3"/>
    <w:rsid w:val="20B507B7"/>
    <w:rsid w:val="20E07B8D"/>
    <w:rsid w:val="22821B01"/>
    <w:rsid w:val="23140A74"/>
    <w:rsid w:val="231F453A"/>
    <w:rsid w:val="250A66F1"/>
    <w:rsid w:val="253F5AB2"/>
    <w:rsid w:val="25FE4DEA"/>
    <w:rsid w:val="26382E54"/>
    <w:rsid w:val="265B5934"/>
    <w:rsid w:val="26E950E0"/>
    <w:rsid w:val="26F14EF9"/>
    <w:rsid w:val="26FB0B43"/>
    <w:rsid w:val="27167FF3"/>
    <w:rsid w:val="27361A4E"/>
    <w:rsid w:val="2752133F"/>
    <w:rsid w:val="28432D6F"/>
    <w:rsid w:val="2A040FD9"/>
    <w:rsid w:val="2A3026EA"/>
    <w:rsid w:val="2A864357"/>
    <w:rsid w:val="2B364CC7"/>
    <w:rsid w:val="2C9E35A2"/>
    <w:rsid w:val="2D1A545E"/>
    <w:rsid w:val="2D73441E"/>
    <w:rsid w:val="2E1A3FA5"/>
    <w:rsid w:val="2E3F6D3D"/>
    <w:rsid w:val="2FC35DDC"/>
    <w:rsid w:val="2FF46FEF"/>
    <w:rsid w:val="3063432D"/>
    <w:rsid w:val="31380739"/>
    <w:rsid w:val="31AF4649"/>
    <w:rsid w:val="31C97BDE"/>
    <w:rsid w:val="32485DD2"/>
    <w:rsid w:val="329F3736"/>
    <w:rsid w:val="33517F6D"/>
    <w:rsid w:val="33AF09AB"/>
    <w:rsid w:val="33B46080"/>
    <w:rsid w:val="35B453B7"/>
    <w:rsid w:val="36A73232"/>
    <w:rsid w:val="391B17B4"/>
    <w:rsid w:val="39DD347A"/>
    <w:rsid w:val="3B9337FF"/>
    <w:rsid w:val="3E124C82"/>
    <w:rsid w:val="3FE36601"/>
    <w:rsid w:val="404D74C7"/>
    <w:rsid w:val="40746F11"/>
    <w:rsid w:val="40BA2298"/>
    <w:rsid w:val="40EC1679"/>
    <w:rsid w:val="4103397F"/>
    <w:rsid w:val="42A32C48"/>
    <w:rsid w:val="43E40390"/>
    <w:rsid w:val="447C7E7A"/>
    <w:rsid w:val="463727B5"/>
    <w:rsid w:val="499D7250"/>
    <w:rsid w:val="4B2657DA"/>
    <w:rsid w:val="4B681907"/>
    <w:rsid w:val="4BAD79F5"/>
    <w:rsid w:val="4C73411F"/>
    <w:rsid w:val="4C777ACA"/>
    <w:rsid w:val="4CA6171B"/>
    <w:rsid w:val="4E4B0931"/>
    <w:rsid w:val="4F6C773E"/>
    <w:rsid w:val="50604DB9"/>
    <w:rsid w:val="509067D6"/>
    <w:rsid w:val="52BC159B"/>
    <w:rsid w:val="539C3920"/>
    <w:rsid w:val="53A771D4"/>
    <w:rsid w:val="53C009E0"/>
    <w:rsid w:val="53F633AB"/>
    <w:rsid w:val="541A0AC8"/>
    <w:rsid w:val="54746C71"/>
    <w:rsid w:val="557C164B"/>
    <w:rsid w:val="559C35AB"/>
    <w:rsid w:val="566B6279"/>
    <w:rsid w:val="56A64BFC"/>
    <w:rsid w:val="57A46DCD"/>
    <w:rsid w:val="57EA7FC6"/>
    <w:rsid w:val="58230A97"/>
    <w:rsid w:val="591718A2"/>
    <w:rsid w:val="5918638B"/>
    <w:rsid w:val="595F75FA"/>
    <w:rsid w:val="5A813DE4"/>
    <w:rsid w:val="5B2D7B91"/>
    <w:rsid w:val="5BE57F0C"/>
    <w:rsid w:val="5C186E65"/>
    <w:rsid w:val="5CA47928"/>
    <w:rsid w:val="5CC20DC3"/>
    <w:rsid w:val="5D120674"/>
    <w:rsid w:val="5EFC4722"/>
    <w:rsid w:val="5F3B551C"/>
    <w:rsid w:val="5FC00209"/>
    <w:rsid w:val="601546A2"/>
    <w:rsid w:val="60EF18A6"/>
    <w:rsid w:val="616D198F"/>
    <w:rsid w:val="61757C13"/>
    <w:rsid w:val="653E15ED"/>
    <w:rsid w:val="65A167F4"/>
    <w:rsid w:val="66672E5A"/>
    <w:rsid w:val="669E0F96"/>
    <w:rsid w:val="66A16692"/>
    <w:rsid w:val="674D7B43"/>
    <w:rsid w:val="6833438A"/>
    <w:rsid w:val="688A1E8C"/>
    <w:rsid w:val="6A9722E8"/>
    <w:rsid w:val="6BBC36EB"/>
    <w:rsid w:val="6BED0D32"/>
    <w:rsid w:val="6C475F3F"/>
    <w:rsid w:val="6C557CE2"/>
    <w:rsid w:val="6D1E4EFF"/>
    <w:rsid w:val="6E245244"/>
    <w:rsid w:val="6E9E45FB"/>
    <w:rsid w:val="6F49498A"/>
    <w:rsid w:val="717817DA"/>
    <w:rsid w:val="71F503F3"/>
    <w:rsid w:val="72206D13"/>
    <w:rsid w:val="723E6B8D"/>
    <w:rsid w:val="73FD3B12"/>
    <w:rsid w:val="74041FAA"/>
    <w:rsid w:val="743F6707"/>
    <w:rsid w:val="76B27FED"/>
    <w:rsid w:val="774923DE"/>
    <w:rsid w:val="7785575B"/>
    <w:rsid w:val="787966FC"/>
    <w:rsid w:val="798E1253"/>
    <w:rsid w:val="7A6A3824"/>
    <w:rsid w:val="7AEF3CDC"/>
    <w:rsid w:val="7C9C0D93"/>
    <w:rsid w:val="7DAB193C"/>
    <w:rsid w:val="7DD04F34"/>
    <w:rsid w:val="7DD91AB5"/>
    <w:rsid w:val="7E5E68EC"/>
    <w:rsid w:val="7FC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0"/>
    <w:pPr>
      <w:keepNext/>
      <w:keepLines/>
      <w:numPr>
        <w:ilvl w:val="0"/>
        <w:numId w:val="1"/>
      </w:numPr>
      <w:spacing w:before="120" w:after="120"/>
      <w:ind w:firstLine="0" w:firstLineChars="0"/>
      <w:jc w:val="both"/>
      <w:outlineLvl w:val="0"/>
    </w:pPr>
    <w:rPr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9"/>
    <w:qFormat/>
    <w:uiPriority w:val="0"/>
    <w:pPr>
      <w:keepNext/>
      <w:keepLines/>
      <w:numPr>
        <w:ilvl w:val="1"/>
        <w:numId w:val="1"/>
      </w:numPr>
      <w:spacing w:before="120" w:after="120"/>
      <w:jc w:val="both"/>
      <w:outlineLvl w:val="1"/>
    </w:pPr>
    <w:rPr>
      <w:b/>
      <w:bCs/>
      <w:sz w:val="30"/>
      <w:szCs w:val="30"/>
    </w:rPr>
  </w:style>
  <w:style w:type="paragraph" w:styleId="5">
    <w:name w:val="heading 3"/>
    <w:basedOn w:val="1"/>
    <w:next w:val="1"/>
    <w:link w:val="36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28"/>
    </w:rPr>
  </w:style>
  <w:style w:type="paragraph" w:styleId="6">
    <w:name w:val="heading 4"/>
    <w:basedOn w:val="1"/>
    <w:next w:val="1"/>
    <w:link w:val="3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/>
      <w:ind w:firstLine="0"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40"/>
    <w:unhideWhenUsed/>
    <w:qFormat/>
    <w:uiPriority w:val="0"/>
    <w:pPr>
      <w:keepNext/>
      <w:keepLines/>
      <w:numPr>
        <w:ilvl w:val="4"/>
        <w:numId w:val="1"/>
      </w:numPr>
      <w:spacing w:before="120" w:after="120"/>
      <w:ind w:firstLine="0"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41"/>
    <w:unhideWhenUsed/>
    <w:qFormat/>
    <w:uiPriority w:val="0"/>
    <w:pPr>
      <w:keepNext/>
      <w:keepLines/>
      <w:numPr>
        <w:ilvl w:val="5"/>
        <w:numId w:val="1"/>
      </w:numPr>
      <w:spacing w:before="120" w:after="120"/>
      <w:ind w:firstLine="0"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link w:val="44"/>
    <w:unhideWhenUsed/>
    <w:qFormat/>
    <w:uiPriority w:val="99"/>
  </w:style>
  <w:style w:type="paragraph" w:styleId="10">
    <w:name w:val="toc 3"/>
    <w:basedOn w:val="1"/>
    <w:next w:val="1"/>
    <w:semiHidden/>
    <w:unhideWhenUsed/>
    <w:qFormat/>
    <w:uiPriority w:val="39"/>
    <w:pPr>
      <w:ind w:left="840" w:leftChars="400" w:firstLine="0" w:firstLineChars="0"/>
    </w:pPr>
  </w:style>
  <w:style w:type="paragraph" w:styleId="11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  <w:pPr>
      <w:ind w:firstLine="0" w:firstLineChars="0"/>
    </w:p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 w:firstLine="0" w:firstLineChars="0"/>
    </w:pPr>
  </w:style>
  <w:style w:type="paragraph" w:styleId="16">
    <w:name w:val="Normal (Web)"/>
    <w:basedOn w:val="1"/>
    <w:semiHidden/>
    <w:unhideWhenUsed/>
    <w:qFormat/>
    <w:uiPriority w:val="99"/>
    <w:rPr>
      <w:rFonts w:cs="Times New Roman"/>
      <w:kern w:val="0"/>
      <w:sz w:val="24"/>
    </w:rPr>
  </w:style>
  <w:style w:type="paragraph" w:styleId="17">
    <w:name w:val="annotation subject"/>
    <w:basedOn w:val="9"/>
    <w:next w:val="9"/>
    <w:link w:val="45"/>
    <w:semiHidden/>
    <w:unhideWhenUsed/>
    <w:qFormat/>
    <w:uiPriority w:val="99"/>
    <w:rPr>
      <w:b/>
      <w:bCs/>
    </w:rPr>
  </w:style>
  <w:style w:type="character" w:styleId="20">
    <w:name w:val="Strong"/>
    <w:basedOn w:val="19"/>
    <w:qFormat/>
    <w:uiPriority w:val="22"/>
  </w:style>
  <w:style w:type="character" w:styleId="21">
    <w:name w:val="FollowedHyperlink"/>
    <w:basedOn w:val="19"/>
    <w:semiHidden/>
    <w:unhideWhenUsed/>
    <w:qFormat/>
    <w:uiPriority w:val="99"/>
    <w:rPr>
      <w:color w:val="145CCD"/>
      <w:u w:val="none"/>
    </w:rPr>
  </w:style>
  <w:style w:type="character" w:styleId="22">
    <w:name w:val="Emphasis"/>
    <w:basedOn w:val="19"/>
    <w:qFormat/>
    <w:uiPriority w:val="20"/>
  </w:style>
  <w:style w:type="character" w:styleId="23">
    <w:name w:val="HTML Definition"/>
    <w:basedOn w:val="19"/>
    <w:semiHidden/>
    <w:unhideWhenUsed/>
    <w:qFormat/>
    <w:uiPriority w:val="99"/>
  </w:style>
  <w:style w:type="character" w:styleId="24">
    <w:name w:val="HTML Typewriter"/>
    <w:basedOn w:val="19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5">
    <w:name w:val="HTML Acronym"/>
    <w:basedOn w:val="19"/>
    <w:semiHidden/>
    <w:unhideWhenUsed/>
    <w:qFormat/>
    <w:uiPriority w:val="99"/>
  </w:style>
  <w:style w:type="character" w:styleId="26">
    <w:name w:val="HTML Variable"/>
    <w:basedOn w:val="19"/>
    <w:semiHidden/>
    <w:unhideWhenUsed/>
    <w:qFormat/>
    <w:uiPriority w:val="99"/>
  </w:style>
  <w:style w:type="character" w:styleId="27">
    <w:name w:val="Hyperlink"/>
    <w:basedOn w:val="19"/>
    <w:semiHidden/>
    <w:unhideWhenUsed/>
    <w:qFormat/>
    <w:uiPriority w:val="99"/>
    <w:rPr>
      <w:color w:val="145CCD"/>
      <w:u w:val="none"/>
    </w:rPr>
  </w:style>
  <w:style w:type="character" w:styleId="28">
    <w:name w:val="HTML Code"/>
    <w:basedOn w:val="19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29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styleId="30">
    <w:name w:val="HTML Cite"/>
    <w:basedOn w:val="19"/>
    <w:semiHidden/>
    <w:unhideWhenUsed/>
    <w:qFormat/>
    <w:uiPriority w:val="99"/>
  </w:style>
  <w:style w:type="character" w:styleId="31">
    <w:name w:val="HTML Keyboard"/>
    <w:basedOn w:val="19"/>
    <w:semiHidden/>
    <w:unhideWhenUsed/>
    <w:qFormat/>
    <w:uiPriority w:val="99"/>
    <w:rPr>
      <w:rFonts w:hint="default" w:ascii="monospace" w:hAnsi="monospace" w:eastAsia="monospace" w:cs="monospace"/>
      <w:vanish/>
      <w:color w:val="3D4B62"/>
      <w:sz w:val="19"/>
      <w:szCs w:val="19"/>
    </w:rPr>
  </w:style>
  <w:style w:type="character" w:styleId="32">
    <w:name w:val="HTML Sample"/>
    <w:basedOn w:val="19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3">
    <w:name w:val="Indent Normal"/>
    <w:basedOn w:val="1"/>
    <w:qFormat/>
    <w:uiPriority w:val="0"/>
    <w:pPr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4">
    <w:name w:val="标题 4 字符"/>
    <w:basedOn w:val="19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5">
    <w:name w:val="标题 1 字符"/>
    <w:basedOn w:val="19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36">
    <w:name w:val="标题 3 字符"/>
    <w:basedOn w:val="19"/>
    <w:link w:val="5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character" w:customStyle="1" w:styleId="37">
    <w:name w:val="页眉 字符"/>
    <w:basedOn w:val="19"/>
    <w:link w:val="13"/>
    <w:qFormat/>
    <w:uiPriority w:val="99"/>
    <w:rPr>
      <w:sz w:val="18"/>
      <w:szCs w:val="18"/>
    </w:rPr>
  </w:style>
  <w:style w:type="character" w:customStyle="1" w:styleId="38">
    <w:name w:val="页脚 字符"/>
    <w:basedOn w:val="19"/>
    <w:link w:val="12"/>
    <w:qFormat/>
    <w:uiPriority w:val="99"/>
    <w:rPr>
      <w:sz w:val="18"/>
      <w:szCs w:val="18"/>
    </w:rPr>
  </w:style>
  <w:style w:type="character" w:customStyle="1" w:styleId="39">
    <w:name w:val="标题 2 字符"/>
    <w:basedOn w:val="19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40">
    <w:name w:val="标题 5 字符"/>
    <w:basedOn w:val="19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1">
    <w:name w:val="标题 6 字符"/>
    <w:basedOn w:val="19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4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3">
    <w:name w:val="批注框文本 字符"/>
    <w:basedOn w:val="19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批注文字 字符"/>
    <w:basedOn w:val="19"/>
    <w:link w:val="9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5">
    <w:name w:val="批注主题 字符"/>
    <w:basedOn w:val="44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6">
    <w:name w:val="hover"/>
    <w:basedOn w:val="19"/>
    <w:qFormat/>
    <w:uiPriority w:val="0"/>
    <w:rPr>
      <w:shd w:val="clear" w:color="auto" w:fill="EEEEEE"/>
    </w:rPr>
  </w:style>
  <w:style w:type="character" w:customStyle="1" w:styleId="47">
    <w:name w:val="hover1"/>
    <w:basedOn w:val="19"/>
    <w:qFormat/>
    <w:uiPriority w:val="0"/>
    <w:rPr>
      <w:color w:val="2590EB"/>
    </w:rPr>
  </w:style>
  <w:style w:type="character" w:customStyle="1" w:styleId="48">
    <w:name w:val="hover2"/>
    <w:basedOn w:val="19"/>
    <w:qFormat/>
    <w:uiPriority w:val="0"/>
    <w:rPr>
      <w:color w:val="2590EB"/>
    </w:rPr>
  </w:style>
  <w:style w:type="character" w:customStyle="1" w:styleId="49">
    <w:name w:val="hover3"/>
    <w:basedOn w:val="19"/>
    <w:qFormat/>
    <w:uiPriority w:val="0"/>
  </w:style>
  <w:style w:type="character" w:customStyle="1" w:styleId="50">
    <w:name w:val="hour_am"/>
    <w:basedOn w:val="19"/>
    <w:qFormat/>
    <w:uiPriority w:val="0"/>
  </w:style>
  <w:style w:type="character" w:customStyle="1" w:styleId="51">
    <w:name w:val="layui-this"/>
    <w:basedOn w:val="19"/>
    <w:qFormat/>
    <w:uiPriority w:val="0"/>
    <w:rPr>
      <w:bdr w:val="single" w:color="EEEEEE" w:sz="4" w:space="0"/>
      <w:shd w:val="clear" w:color="auto" w:fill="FFFFFF"/>
    </w:rPr>
  </w:style>
  <w:style w:type="character" w:customStyle="1" w:styleId="52">
    <w:name w:val="hour_pm"/>
    <w:basedOn w:val="19"/>
    <w:qFormat/>
    <w:uiPriority w:val="0"/>
  </w:style>
  <w:style w:type="character" w:customStyle="1" w:styleId="53">
    <w:name w:val="first-child"/>
    <w:basedOn w:val="19"/>
    <w:qFormat/>
    <w:uiPriority w:val="0"/>
  </w:style>
  <w:style w:type="character" w:customStyle="1" w:styleId="54">
    <w:name w:val="old"/>
    <w:basedOn w:val="19"/>
    <w:qFormat/>
    <w:uiPriority w:val="0"/>
    <w:rPr>
      <w:color w:val="999999"/>
    </w:rPr>
  </w:style>
  <w:style w:type="character" w:customStyle="1" w:styleId="55">
    <w:name w:val="glyphicon"/>
    <w:basedOn w:val="19"/>
    <w:qFormat/>
    <w:uiPriority w:val="0"/>
  </w:style>
  <w:style w:type="character" w:customStyle="1" w:styleId="56">
    <w:name w:val="active1"/>
    <w:basedOn w:val="19"/>
    <w:qFormat/>
    <w:uiPriority w:val="0"/>
    <w:rPr>
      <w:shd w:val="clear" w:color="auto" w:fill="001CAD"/>
    </w:rPr>
  </w:style>
  <w:style w:type="character" w:customStyle="1" w:styleId="57">
    <w:name w:val="active2"/>
    <w:basedOn w:val="19"/>
    <w:qFormat/>
    <w:uiPriority w:val="0"/>
    <w:rPr>
      <w:b/>
      <w:color w:val="00FCFF"/>
      <w:shd w:val="clear" w:color="auto" w:fill="001CAD"/>
    </w:rPr>
  </w:style>
  <w:style w:type="character" w:customStyle="1" w:styleId="58">
    <w:name w:val="active3"/>
    <w:basedOn w:val="19"/>
    <w:qFormat/>
    <w:uiPriority w:val="0"/>
    <w:rPr>
      <w:b/>
      <w:color w:val="00FCFF"/>
      <w:shd w:val="clear" w:color="auto" w:fill="001CAD"/>
    </w:rPr>
  </w:style>
  <w:style w:type="paragraph" w:customStyle="1" w:styleId="59">
    <w:name w:val="2"/>
    <w:basedOn w:val="1"/>
    <w:qFormat/>
    <w:uiPriority w:val="0"/>
    <w:pPr>
      <w:autoSpaceDE w:val="0"/>
      <w:autoSpaceDN w:val="0"/>
      <w:adjustRightInd w:val="0"/>
      <w:jc w:val="center"/>
    </w:pPr>
    <w:rPr>
      <w:spacing w:val="4"/>
    </w:rPr>
  </w:style>
  <w:style w:type="paragraph" w:styleId="60">
    <w:name w:val="List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931</Words>
  <Characters>5312</Characters>
  <Lines>44</Lines>
  <Paragraphs>12</Paragraphs>
  <TotalTime>1</TotalTime>
  <ScaleCrop>false</ScaleCrop>
  <LinksUpToDate>false</LinksUpToDate>
  <CharactersWithSpaces>6231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Administrator</cp:lastModifiedBy>
  <dcterms:modified xsi:type="dcterms:W3CDTF">2022-01-27T00:54:05Z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45A7CFCB54624499B9F4ACAC92DF3CE8</vt:lpwstr>
  </property>
</Properties>
</file>